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2025Z18781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oktober 2025)</w:t>
        <w:br/>
      </w:r>
    </w:p>
    <w:p>
      <w:r>
        <w:t xml:space="preserve">Vragen van het lid Joseph (BBB) aan de staatssecretaris van Financiën en de minister van Sociale Zaken en Werkgelegenheid over het fiscaal belasten van persoonlijk pensioenadvies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Bent u bekend met het standpunt van de Kennisgroep loonheffingen van de Belastingdienst dat persoonlijke pensioenadviezen, betaald door de werkgever, als belast loon worden beschouwd? 1)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Hoe verhoudt dit standpunt zich tot de doelstellingen van de Wet toekomst pensioenen, die juist inzet op meer maatwerk en persoonlijke begeleiding bij pensioenkeuzes?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Deelt u de mening dat het fiscaal belasten van persoonlijke pensioenadviezen, die werknemers helpen weloverwogen keuzes te maken binnen hun pensioenregeling, een drempel opwerpt voor adequate keuzebegeleiding?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Kunt u toelichten waarom de Belastingdienst onderscheid maakt tussen ‘verplichte keuzebegeleiding’ (onbelast) en ‘persoonlijk pensioenadvies’ (belast), terwijl de grens tussen informeren en adviseren in de Pensioenwet bewust open is gelaten?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Op welke wijze is dit standpunt van de Belastingdienst afgestemd met het ministerie van Sociale Zaken en Werkgelegenheid, dat verantwoordelijk is voor de uitvoering van de Wet toekomst pensioenen?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Acht u het wenselijk dat werkgevers, die werknemers juist willen helpen om beter financieel inzicht te krijgen, hierdoor extra loonheffingen moeten afdragen?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Bent u bereid te onderzoeken of persoonlijke adviezen, mits gericht op het totale arbeidsvoorwaardenpakket van de werkgever inclusief pensioenkeuzes, onder een gerichte vrijstelling van loonbelasting kunnen vallen?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Zou het volgens u fiscaal en maatschappelijk wenselijk zijn om (persoonlijk) pensioenadvies fiscaal aftrekbaar te maken?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Hoe waarborgt u dat de Belastingdienst geen beleidslijn hanteert die feitelijk het beoogde maatwerk en de keuzebegeleiding van de Wet toekomst pensioenen belemmert?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Bent u bereid de Kamer te informeren over mogelijke beleidsopties of aanpassingen, zodat pensioenadvies en -begeleiding niet fiscaal worden ontmoedigd?</w:t>
      </w:r>
      <w:r>
        <w:br/>
      </w:r>
    </w:p>
    <w:p>
      <w:pPr>
        <w:pStyle w:val="ListParagraph"/>
        <w:numPr>
          <w:ilvl w:val="0"/>
          <w:numId w:val="100488480"/>
        </w:numPr>
        <w:ind w:left="360"/>
      </w:pPr>
      <w:r>
        <w:t xml:space="preserve">Kunt u deze vragen één voor één en binnen drie weken beantwoorden?</w:t>
      </w:r>
      <w:r>
        <w:br/>
      </w:r>
    </w:p>
    <w:p>
      <w:r>
        <w:t xml:space="preserve">1) Financiële Telegraaf, 4 oktober 2025, Belastingdienst: persoonlijk pensioenadvies betaald door werkgever geldt als belastbaar inkomen; Theo Gommer: ’Fiscus houdt pensioenkeuzes tegen’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