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2025Z18791</w:t>
        <w:br/>
      </w:r>
      <w:proofErr w:type="spellEnd"/>
    </w:p>
    <w:p>
      <w:pPr>
        <w:pStyle w:val="Normal"/>
        <w:rPr>
          <w:b w:val="1"/>
          <w:bCs w:val="1"/>
        </w:rPr>
      </w:pPr>
      <w:r w:rsidR="250AE766">
        <w:rPr>
          <w:b w:val="0"/>
          <w:bCs w:val="0"/>
        </w:rPr>
        <w:t>(ingezonden 7 oktober 2025)</w:t>
        <w:br/>
      </w:r>
    </w:p>
    <w:p>
      <w:r>
        <w:t xml:space="preserve">Vragen van de leden Bontenbal en Boswijk (beiden CDA) aan de ministers van Klimaat en Groene Groei en van Volkshuisvesting en Ruimtelijke Ordening over het bericht ‘Woningbouw in gevaar door nieuwe regels netcongestie’.</w:t>
      </w:r>
      <w:r>
        <w:br/>
      </w:r>
    </w:p>
    <w:p>
      <w:r>
        <w:t xml:space="preserve">1. Bent u bekend met het artikel ‘Woningbouw in gevaar door nieuwe regels netcongestie’ (1)? </w:t>
      </w:r>
      <w:r>
        <w:br/>
      </w:r>
    </w:p>
    <w:p>
      <w:r>
        <w:t xml:space="preserve"> </w:t>
      </w:r>
      <w:r>
        <w:br/>
      </w:r>
    </w:p>
    <w:p>
      <w:r>
        <w:t xml:space="preserve">2. Klopt het dat de Autoriteit Consument en Markt (ACM) op 1 januari met een nieuw prioriteringskader voor netcapaciteit komt, maar dat het nog onduidelijk is of de voorrang voor woningbouw daarin blijft bestaan? </w:t>
      </w:r>
      <w:r>
        <w:br/>
      </w:r>
    </w:p>
    <w:p>
      <w:r>
        <w:t xml:space="preserve"> </w:t>
      </w:r>
      <w:r>
        <w:br/>
      </w:r>
    </w:p>
    <w:p>
      <w:r>
        <w:t xml:space="preserve">3. Wat is uw reactie op de waarschuwing van de gemeenten Amsterdam, Den Haag, Rotterdam en Utrecht dat zonder duidelijke afspraken en landelijke regie de bouw van ruim 160.000 woningen en maatschappelijke voorzieningen zoals scholen en laadinfrastructuur in gevaar komt? Hoe groot acht u dit risico? </w:t>
      </w:r>
      <w:r>
        <w:br/>
      </w:r>
    </w:p>
    <w:p>
      <w:r>
        <w:t xml:space="preserve"> </w:t>
      </w:r>
      <w:r>
        <w:br/>
      </w:r>
    </w:p>
    <w:p>
      <w:r>
        <w:t xml:space="preserve">4. Kunt u garanderen dat de nu geldende voorrang voor woningbouw ook in het nieuwe prioriteringskader overeind blijft? </w:t>
      </w:r>
      <w:r>
        <w:br/>
      </w:r>
    </w:p>
    <w:p>
      <w:r>
        <w:t xml:space="preserve"> </w:t>
      </w:r>
      <w:r>
        <w:br/>
      </w:r>
    </w:p>
    <w:p>
      <w:r>
        <w:t xml:space="preserve">5. Hoe gaat u ervoor zorgen dat er al ruim vóór 1 januari 2026 voldoende duidelijkheid is voor projectontwikkelaars en gemeenten over het prioriteringskader, zodat lopende woningbouwprojecten niet onverwacht stagneren of stilvallen? </w:t>
      </w:r>
      <w:r>
        <w:br/>
      </w:r>
    </w:p>
    <w:p>
      <w:r>
        <w:t xml:space="preserve"> </w:t>
      </w:r>
      <w:r>
        <w:br/>
      </w:r>
    </w:p>
    <w:p>
      <w:r>
        <w:t xml:space="preserve">6. Wat is uw reactie op de oproep van deze gemeenten met betrekking tot heldere communicatie over de invoering en gevolgen van nieuwe prioriteitsregels, garanties voor een zorgvuldige overgang zodat lopende projecten niet stilvallen en hun betrokkenheid bij gesprekken met o.a. de ACM over het nieuwe prioriteringskader? Kunt u in ieder geval toezeggen dat de gemeenten bij deze gesprekken worden betrokken? </w:t>
      </w:r>
      <w:r>
        <w:br/>
      </w:r>
    </w:p>
    <w:p>
      <w:r>
        <w:t xml:space="preserve"> </w:t>
      </w:r>
      <w:r>
        <w:br/>
      </w:r>
    </w:p>
    <w:p>
      <w:r>
        <w:t xml:space="preserve">(1) https://www.binnenlandsbestuur.nl/ruimte-en-milieu/woningbouw-in-gevaar-door-nieuwe-regels-netcongestie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