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2025Z18819</w:t>
        <w:br/>
      </w:r>
      <w:proofErr w:type="spellEnd"/>
    </w:p>
    <w:p>
      <w:pPr>
        <w:pStyle w:val="Normal"/>
        <w:rPr>
          <w:b w:val="1"/>
          <w:bCs w:val="1"/>
        </w:rPr>
      </w:pPr>
      <w:r w:rsidR="250AE766">
        <w:rPr>
          <w:b w:val="0"/>
          <w:bCs w:val="0"/>
        </w:rPr>
        <w:t>(ingezonden 8 oktober 2025)</w:t>
        <w:br/>
      </w:r>
    </w:p>
    <w:p>
      <w:r>
        <w:t xml:space="preserve">Vragen van het lid Joseph (BBB) aan de minister van Sociale Zaken en Werkgelegenheid over de spreiding van financiële schokken in de uitkeringsfase van flexibele premieregelingen</w:t>
      </w:r>
      <w:r>
        <w:br/>
      </w:r>
    </w:p>
    <w:p>
      <w:pPr>
        <w:pStyle w:val="ListParagraph"/>
        <w:numPr>
          <w:ilvl w:val="0"/>
          <w:numId w:val="100488560"/>
        </w:numPr>
        <w:ind w:left="360"/>
      </w:pPr>
      <w:r>
        <w:t xml:space="preserve">Heeft u kennisgenomen van het bericht 'Aon: regels voor spreiding schokken benadelen deelnemers in flexibele regeling' uit Pensioen Pro, 9 september 2025? 1)</w:t>
      </w:r>
      <w:r>
        <w:br/>
      </w:r>
    </w:p>
    <w:p>
      <w:pPr>
        <w:pStyle w:val="ListParagraph"/>
        <w:numPr>
          <w:ilvl w:val="0"/>
          <w:numId w:val="100488560"/>
        </w:numPr>
        <w:ind w:left="360"/>
      </w:pPr>
      <w:r>
        <w:t xml:space="preserve">Kunt u bevestigen dat het volgens de interpretatie van De Nederlandsche Bank (DNB) van de Pensioenwet het niet is toegestaan om binnen de flexibele premieregeling gelijke aanpassingen van de uitkeringen van alle gepensioneerden te realiseren bij het spreiden van financiële schokken in de tijd? </w:t>
      </w:r>
      <w:r>
        <w:br/>
      </w:r>
    </w:p>
    <w:p>
      <w:pPr>
        <w:pStyle w:val="ListParagraph"/>
        <w:numPr>
          <w:ilvl w:val="0"/>
          <w:numId w:val="100488560"/>
        </w:numPr>
        <w:ind w:left="360"/>
      </w:pPr>
      <w:r>
        <w:t xml:space="preserve">Klopt het dat pensioenfondsen binnen de flexibele premieregeling deelnemers bij pensionering niet mogen laten inkopen in een spreidingsreserve, terwijl dit binnen de solidaire premieregeling op grond van het Besluit Gelijke aanpassingen met spreiden wel is toegestaan en zelfs verplicht is? 2)</w:t>
      </w:r>
      <w:r>
        <w:br/>
      </w:r>
    </w:p>
    <w:p>
      <w:pPr>
        <w:pStyle w:val="ListParagraph"/>
        <w:numPr>
          <w:ilvl w:val="0"/>
          <w:numId w:val="100488560"/>
        </w:numPr>
        <w:ind w:left="360"/>
      </w:pPr>
      <w:r>
        <w:t xml:space="preserve">Kunt u uitleggen waarom bij de invoering van dat besluit in juli 2024 uitsluitend de solidaire premieregeling is meegenomen, terwijl de behoefte aan het in gelijke mate spreiden van financiële schokken in de tijd voor gepensioneerden in beide regelingen vergelijkbaar is?</w:t>
      </w:r>
      <w:r>
        <w:br/>
      </w:r>
    </w:p>
    <w:p>
      <w:pPr>
        <w:pStyle w:val="ListParagraph"/>
        <w:numPr>
          <w:ilvl w:val="0"/>
          <w:numId w:val="100488560"/>
        </w:numPr>
        <w:ind w:left="360"/>
      </w:pPr>
      <w:r>
        <w:t xml:space="preserve">Kunt u bevestigen dat het aan het besluit onderliggende amendement-Palland juist beoogde de solidaire regeling in lijn te brengen met de mogelijkheden en voordelen van de flexibele regeling, ten aanzien van het spreiden van schokken in de uitkeringsfase? En dat het daarom opmerkelijk is dat de uitwerking in de huidige uitvoeringspraktijk juist tot gevolg heeft dat er wederom een verschil is ontstaan tussen de uitvoering, nu juist ten nadele van de deelnemers in de flexibele regeling? 3)</w:t>
      </w:r>
      <w:r>
        <w:br/>
      </w:r>
    </w:p>
    <w:p>
      <w:pPr>
        <w:pStyle w:val="ListParagraph"/>
        <w:numPr>
          <w:ilvl w:val="0"/>
          <w:numId w:val="100488560"/>
        </w:numPr>
        <w:ind w:left="360"/>
      </w:pPr>
      <w:r>
        <w:t xml:space="preserve">Acht u deze ongelijkheid tussen de twee premieregelingen wenselijk en uitlegbaar richting deelnemers?</w:t>
      </w:r>
      <w:r>
        <w:br/>
      </w:r>
    </w:p>
    <w:p>
      <w:pPr>
        <w:pStyle w:val="ListParagraph"/>
        <w:numPr>
          <w:ilvl w:val="0"/>
          <w:numId w:val="100488560"/>
        </w:numPr>
        <w:ind w:left="360"/>
      </w:pPr>
      <w:r>
        <w:t xml:space="preserve">Ziet u mogelijkheden om, net als bij de solidaire regeling, door middel van een aanvullend besluit of wijziging de Pensioenwet ook binnen de flexibele premieregeling gelijke aanpassingen met spreiden mogelijk te maken?</w:t>
      </w:r>
      <w:r>
        <w:br/>
      </w:r>
    </w:p>
    <w:p>
      <w:pPr>
        <w:pStyle w:val="ListParagraph"/>
        <w:numPr>
          <w:ilvl w:val="0"/>
          <w:numId w:val="100488560"/>
        </w:numPr>
        <w:ind w:left="360"/>
      </w:pPr>
      <w:r>
        <w:t xml:space="preserve">Deelt u de opvatting dat een dergelijke aanpassing bijdraagt aan een eenvoudiger en goedkoper uitvoeringsproces, een beter uitlegbare regeling voor deelnemers, en meer stabiliteit in de pensioenuitkering bij pensionering?</w:t>
      </w:r>
      <w:r>
        <w:br/>
      </w:r>
    </w:p>
    <w:p>
      <w:pPr>
        <w:pStyle w:val="ListParagraph"/>
        <w:numPr>
          <w:ilvl w:val="0"/>
          <w:numId w:val="100488560"/>
        </w:numPr>
        <w:ind w:left="360"/>
      </w:pPr>
      <w:r>
        <w:t xml:space="preserve">Deelt u de opvatting dat met inkoop op pensioendatum van toekomstige dakpannen danwel inkoop in de spreidingsreserve bij geheugenloos spreiden, gelijke aanpassingen van alle lopende pensioenen mogelijk zijn, zonder dat dit tot herverdeling tussen de deelnemers leidt?</w:t>
      </w:r>
      <w:r>
        <w:br/>
      </w:r>
    </w:p>
    <w:p>
      <w:pPr>
        <w:pStyle w:val="ListParagraph"/>
        <w:numPr>
          <w:ilvl w:val="0"/>
          <w:numId w:val="100488560"/>
        </w:numPr>
        <w:ind w:left="360"/>
      </w:pPr>
      <w:r>
        <w:t xml:space="preserve">Bent u bereid om, mede in het licht van het genoemde amendement en besluit, te bezien hoe de regels voor spreiding en inkoop kunnen worden vereenvoudigd en geharmoniseerd tussen de solidaire en flexibele premieregeling, en de Kamer hierover vóór 1 januari 2026 te informeren?</w:t>
      </w:r>
      <w:r>
        <w:br/>
      </w:r>
    </w:p>
    <w:p>
      <w:pPr>
        <w:pStyle w:val="ListParagraph"/>
        <w:numPr>
          <w:ilvl w:val="0"/>
          <w:numId w:val="100488560"/>
        </w:numPr>
        <w:ind w:left="360"/>
      </w:pPr>
      <w:r>
        <w:t xml:space="preserve">Kunt u deze vragen één voor één en binnen drie weken beantwoorden?</w:t>
      </w:r>
      <w:r>
        <w:br/>
      </w:r>
    </w:p>
    <w:p>
      <w:r>
        <w:t xml:space="preserve"> </w:t>
      </w:r>
      <w:r>
        <w:br/>
      </w:r>
    </w:p>
    <w:p>
      <w:r>
        <w:t xml:space="preserve">1) Pensioen Pro, 9 september 2025, 'Aon: regels voor spreiding schokken benadelen deelnemers in flexibele regeling', pensioenpro.nl/aon-regels-voor-spreiding-schokken-benadelen-deelnemers-in-flexibele-regeling/</w:t>
      </w:r>
      <w:r>
        <w:br/>
      </w:r>
    </w:p>
    <w:p>
      <w:r>
        <w:t xml:space="preserve">2) Werken aan ons Pensioen, 11 juli 2024, 'Publicatie Besluit Gelijke aanpassingen met spreiden bij een solidaire premieregeling', www.werkenaanonspensioen.nl/actueel/nieuws/2024/07/11/publicatie-besluit-gelijke-aanpassingen-met-spreiden-bij-een-solidaire-premieregeling</w:t>
      </w:r>
      <w:r>
        <w:br/>
      </w:r>
    </w:p>
    <w:p>
      <w:r>
        <w:t xml:space="preserve">3) Kamerstuk 36067, nr. 175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5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530">
    <w:abstractNumId w:val="1004885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