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2025Z18847</w:t>
        <w:br/>
      </w:r>
      <w:proofErr w:type="spellEnd"/>
    </w:p>
    <w:p>
      <w:pPr>
        <w:pStyle w:val="Normal"/>
        <w:rPr>
          <w:b w:val="1"/>
          <w:bCs w:val="1"/>
        </w:rPr>
      </w:pPr>
      <w:r w:rsidR="250AE766">
        <w:rPr>
          <w:b w:val="0"/>
          <w:bCs w:val="0"/>
        </w:rPr>
        <w:t>(ingezonden 9 oktober 2025)</w:t>
        <w:br/>
      </w:r>
    </w:p>
    <w:p>
      <w:r>
        <w:t xml:space="preserve">Vragen van het lid Pierik (BBB) aan de staatssecretaris van Infrastructuur en Waterstaat over de PwC speelveldtoets die de afval- en recyclingsector heeft laten uitvoeren op het invoeren van €567 miljoen extra heffingen op afval.</w:t>
      </w:r>
      <w:r>
        <w:br/>
      </w:r>
    </w:p>
    <w:p>
      <w:r>
        <w:t xml:space="preserve"> </w:t>
      </w:r>
      <w:r>
        <w:br/>
      </w:r>
    </w:p>
    <w:p>
      <w:pPr>
        <w:pStyle w:val="ListParagraph"/>
        <w:numPr>
          <w:ilvl w:val="0"/>
          <w:numId w:val="100488640"/>
        </w:numPr>
        <w:ind w:left="360"/>
      </w:pPr>
      <w:r>
        <w:t xml:space="preserve">Bent u bekend met het rapport van PricewaterhouseCoopers (PwC) getiteld “Gevolgen van fiscale maatregelen voor concurrentiepositie afvalverwerkingssector”?</w:t>
      </w:r>
      <w:r>
        <w:br/>
      </w:r>
    </w:p>
    <w:p>
      <w:pPr>
        <w:pStyle w:val="ListParagraph"/>
        <w:numPr>
          <w:ilvl w:val="0"/>
          <w:numId w:val="100488640"/>
        </w:numPr>
        <w:ind w:left="360"/>
      </w:pPr>
      <w:r>
        <w:t xml:space="preserve">Deelt u de analyse dat de bij de Voorjaarsnota aangekondigde fiscale maatregelen in de afvalsector, ter waarde van €567 miljoen, leiden tot een verslechtering van de concurrentiepositie van de recycle- en sorteerbedrijven? Erkent u dat deze verslechtering van de concurrentiepositie haaks staat op de noodzaak om de recyclecapaciteit in Nederland optimaal te benutten?</w:t>
      </w:r>
      <w:r>
        <w:br/>
      </w:r>
    </w:p>
    <w:p>
      <w:pPr>
        <w:pStyle w:val="ListParagraph"/>
        <w:numPr>
          <w:ilvl w:val="0"/>
          <w:numId w:val="100488640"/>
        </w:numPr>
        <w:ind w:left="360"/>
      </w:pPr>
      <w:r>
        <w:t xml:space="preserve">Hoe schat u het risico in dat recycle- en sorteeractiviteiten in Nederland afnemen als gevolg van deze maatregelen? Wat betekent dit voor de nationale ambitie om in 2050 volledig circulair te zijn?</w:t>
      </w:r>
      <w:r>
        <w:br/>
      </w:r>
    </w:p>
    <w:p>
      <w:pPr>
        <w:pStyle w:val="ListParagraph"/>
        <w:numPr>
          <w:ilvl w:val="0"/>
          <w:numId w:val="100488640"/>
        </w:numPr>
        <w:ind w:left="360"/>
      </w:pPr>
      <w:r>
        <w:t xml:space="preserve">Hoe weegt u de constatering van het Planbureau voor de Leefomgeving (PBL) tijdens de technische briefing over de Integrale Circulaire Economie Rapportage (ICER) dat de 2050 doelen onhaalbaar zijn? Hoe gaat u werkbare handvatten bieden middels het herziene Nationaal Programma Circulaire Economie (NPCE)?</w:t>
      </w:r>
      <w:r>
        <w:br/>
      </w:r>
    </w:p>
    <w:p>
      <w:pPr>
        <w:pStyle w:val="ListParagraph"/>
        <w:numPr>
          <w:ilvl w:val="0"/>
          <w:numId w:val="100488640"/>
        </w:numPr>
        <w:ind w:left="360"/>
      </w:pPr>
      <w:r>
        <w:t xml:space="preserve">Hoe voorkomt u dat Nederland zichzelf buitenspel zet in de mondiale concurrentie om circulaire grondstoffen, nu de voorgestelde heffing recyclingactiviteiten uit ons land dreigt weg te drukken en daarmee de toegang tot strategische secundaire materialen voor de Nederlandse industrie ondermijnt?</w:t>
      </w:r>
      <w:r>
        <w:br/>
      </w:r>
    </w:p>
    <w:p>
      <w:pPr>
        <w:pStyle w:val="ListParagraph"/>
        <w:numPr>
          <w:ilvl w:val="0"/>
          <w:numId w:val="100488640"/>
        </w:numPr>
        <w:ind w:left="360"/>
      </w:pPr>
      <w:r>
        <w:t xml:space="preserve">PwC stelt dat de heffing leidt tot een winstimpact van -133% voor afvalverbrandingsinstallaties (AVI’s) in 2035, waardoor kostendekkende exploitatie onmogelijk wordt. Erkent u dat afvalverbranding een noodzakelijke schakel vormt binnen de circulaire keten, en hoe verhoudt deze negatieve impact zich tot die rol?</w:t>
      </w:r>
      <w:r>
        <w:br/>
      </w:r>
    </w:p>
    <w:p>
      <w:pPr>
        <w:pStyle w:val="ListParagraph"/>
        <w:numPr>
          <w:ilvl w:val="0"/>
          <w:numId w:val="100488640"/>
        </w:numPr>
        <w:ind w:left="360"/>
      </w:pPr>
      <w:r>
        <w:t xml:space="preserve">Op basis van speelveldtoetsen op het heffen van de €567 miljoen plasticheffing op polymeren of verpakkingen is besloten deze heffing voorlopig te verplaatsen naar de recycling- en afvalsector. Hoe verhouden de effecten tussen het heffen van de €567 miljoen op polymeren, verpakkingen of recycling &amp; afval zich tot elkaar en hoe beoordeelt u deze?</w:t>
      </w:r>
      <w:r>
        <w:br/>
      </w:r>
    </w:p>
    <w:p>
      <w:pPr>
        <w:pStyle w:val="ListParagraph"/>
        <w:numPr>
          <w:ilvl w:val="0"/>
          <w:numId w:val="100488640"/>
        </w:numPr>
        <w:ind w:left="360"/>
      </w:pPr>
      <w:r>
        <w:t xml:space="preserve">Waar verwacht u dat het afval naartoe zal gaan als AVI’s hun werkzaamheden in Nederland moeten staken vanwege de negatieve winstimpact van -133% zoals PwC schetst?</w:t>
      </w:r>
      <w:r>
        <w:br/>
      </w:r>
    </w:p>
    <w:p>
      <w:pPr>
        <w:pStyle w:val="ListParagraph"/>
        <w:numPr>
          <w:ilvl w:val="0"/>
          <w:numId w:val="100488640"/>
        </w:numPr>
        <w:ind w:left="360"/>
      </w:pPr>
      <w:r>
        <w:t xml:space="preserve">Hoe beoordeelt u het risico dat afvalexport toeneemt als gevolg van de heffing, terwijl buitenlandse verwerkers vaak lagere milieustandaarden hanteren en minder CO₂-efficiënt zijn? Acht u het wenselijk dat Nederland hierdoor de regie verliest over de verduurzaming van haar afvalverwerking en afhankelijk wordt van de bereidwilligheid van andere landen om Nederlands afval te verwerken?</w:t>
      </w:r>
      <w:r>
        <w:br/>
      </w:r>
    </w:p>
    <w:p>
      <w:pPr>
        <w:pStyle w:val="ListParagraph"/>
        <w:numPr>
          <w:ilvl w:val="0"/>
          <w:numId w:val="100488640"/>
        </w:numPr>
        <w:ind w:left="360"/>
      </w:pPr>
      <w:r>
        <w:t xml:space="preserve">Tegen de achtergrond dat het kabinet in de Voorjaarsnota het strategische belang van het Carbon Capture and Storage-project (CCS-project) Aramis heeft benadrukt 1), waarbij is aangegeven dat de businesscase van Aramis in grote mate afhankelijk is van CO₂-afvang door AVI’s 2) en dat het PwC-rapport laat zien dat de heffing in de afvalsector leidt tot onzekerheid over CO₂-leveringen aan projecten als Aramis, deelt u de zorg dat deze onzekerheid de kans van slagen van Aramis ernstig kan belemmeren?</w:t>
      </w:r>
      <w:r>
        <w:br/>
      </w:r>
    </w:p>
    <w:p>
      <w:pPr>
        <w:pStyle w:val="ListParagraph"/>
        <w:numPr>
          <w:ilvl w:val="0"/>
          <w:numId w:val="100488640"/>
        </w:numPr>
        <w:ind w:left="360"/>
      </w:pPr>
      <w:r>
        <w:t xml:space="preserve">Hoe beoordeelt u het risico dat de export van Nederlands afval brandbaar restafval in andere Europese landen verdringt richting stortplaatsen (met methaanemissies tot gevolg) gezien het feit dat er in Europa jaarlijks nog ruim 50 Mton huishoudelijk restafval wordt gestort?</w:t>
      </w:r>
      <w:r>
        <w:br/>
      </w:r>
    </w:p>
    <w:p>
      <w:pPr>
        <w:pStyle w:val="ListParagraph"/>
        <w:numPr>
          <w:ilvl w:val="0"/>
          <w:numId w:val="100488640"/>
        </w:numPr>
        <w:ind w:left="360"/>
      </w:pPr>
      <w:r>
        <w:t xml:space="preserve">Bent u bereid om bij de verdere uitwerking van de heffing van €567 miljoen expliciet te waarborgen dat deze buiten het afvaldomein wordt geheven, bijvoorbeeld middels uitgebreide producentenverantwoordelijkheid (UPV) of buiten de circulaire keten, zodat recycling en verwerking niet disproportioneel worden belast en de vervuiler daadwerkelijk betaalt?</w:t>
      </w:r>
      <w:r>
        <w:br/>
      </w:r>
    </w:p>
    <w:p>
      <w:pPr>
        <w:pStyle w:val="ListParagraph"/>
        <w:numPr>
          <w:ilvl w:val="0"/>
          <w:numId w:val="100488640"/>
        </w:numPr>
        <w:ind w:left="360"/>
      </w:pPr>
      <w:r>
        <w:t xml:space="preserve">Bent u bereid om de nationale CO₂-heffing voor de afvalsector in lijn te brengen met die van andere industrietakken, zodat afvalverwerkers niet worden geconfronteerd met een onevenredige fiscale last die investeringen in verduurzaming en CCS ondermijnt? Verandert uw beoordeling als de Europese Commissie uiterlijk 31 juli 2026 beslist of afvalverbrandingsinstallaties vanaf 2028 onder het European Union Emissions Trading System (EU-ETS) komen te vallen?</w:t>
      </w:r>
      <w:r>
        <w:br/>
      </w:r>
    </w:p>
    <w:p>
      <w:r>
        <w:t xml:space="preserve">1) Kamerstuk 33 043, nr. 114 (Groene economische groei in Nederland (Green Deal) | Tweede Kamer der Staten-Generaal).</w:t>
      </w:r>
      <w:r>
        <w:br/>
      </w:r>
    </w:p>
    <w:p>
      <w:r>
        <w:t xml:space="preserve">2) Kamerstuk 33 043, nr. 115 (Groene economische groei in Nederland (Green Deal)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