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CF8" w:rsidR="009C5CF8" w:rsidP="009C5CF8" w:rsidRDefault="005B7B36" w14:paraId="7F78632D" w14:textId="2BC0B545">
      <w:pPr>
        <w:ind w:left="1416" w:hanging="1416"/>
        <w:rPr>
          <w:rFonts w:ascii="Calibri" w:hAnsi="Calibri" w:cs="Calibri"/>
        </w:rPr>
      </w:pPr>
      <w:r w:rsidRPr="009C5CF8">
        <w:rPr>
          <w:rFonts w:ascii="Calibri" w:hAnsi="Calibri" w:cs="Calibri"/>
        </w:rPr>
        <w:t>36</w:t>
      </w:r>
      <w:r w:rsidRPr="009C5CF8" w:rsidR="009C5CF8">
        <w:rPr>
          <w:rFonts w:ascii="Calibri" w:hAnsi="Calibri" w:cs="Calibri"/>
        </w:rPr>
        <w:t xml:space="preserve"> </w:t>
      </w:r>
      <w:r w:rsidRPr="009C5CF8">
        <w:rPr>
          <w:rFonts w:ascii="Calibri" w:hAnsi="Calibri" w:cs="Calibri"/>
        </w:rPr>
        <w:t>800</w:t>
      </w:r>
      <w:r w:rsidRPr="009C5CF8" w:rsidR="009C5CF8">
        <w:rPr>
          <w:rFonts w:ascii="Calibri" w:hAnsi="Calibri" w:cs="Calibri"/>
        </w:rPr>
        <w:t xml:space="preserve"> </w:t>
      </w:r>
      <w:r w:rsidRPr="009C5CF8">
        <w:rPr>
          <w:rFonts w:ascii="Calibri" w:hAnsi="Calibri" w:cs="Calibri"/>
        </w:rPr>
        <w:t>IV</w:t>
      </w:r>
      <w:r w:rsidRPr="009C5CF8" w:rsidR="009C5CF8">
        <w:rPr>
          <w:rFonts w:ascii="Calibri" w:hAnsi="Calibri" w:cs="Calibri"/>
        </w:rPr>
        <w:tab/>
        <w:t>Vaststelling van de begrotingsstaten van Koninkrijksrelaties (IV) en het BES-fonds (H) voor het jaar 2026</w:t>
      </w:r>
    </w:p>
    <w:p w:rsidRPr="009C5CF8" w:rsidR="009C5CF8" w:rsidP="009C5CF8" w:rsidRDefault="006B32FF" w14:paraId="74287D44" w14:textId="1AF6E88B">
      <w:pPr>
        <w:ind w:left="1416" w:hanging="1416"/>
        <w:rPr>
          <w:rFonts w:ascii="Calibri" w:hAnsi="Calibri" w:cs="Calibri"/>
        </w:rPr>
      </w:pPr>
      <w:r w:rsidRPr="009C5CF8">
        <w:rPr>
          <w:rFonts w:ascii="Calibri" w:hAnsi="Calibri" w:cs="Calibri"/>
        </w:rPr>
        <w:t xml:space="preserve">Nr. </w:t>
      </w:r>
      <w:r w:rsidRPr="009C5CF8" w:rsidR="005B7B36">
        <w:rPr>
          <w:rFonts w:ascii="Calibri" w:hAnsi="Calibri" w:cs="Calibri"/>
        </w:rPr>
        <w:t>19</w:t>
      </w:r>
      <w:r w:rsidRPr="009C5CF8" w:rsidR="009C5CF8">
        <w:rPr>
          <w:rFonts w:ascii="Calibri" w:hAnsi="Calibri" w:cs="Calibri"/>
        </w:rPr>
        <w:tab/>
        <w:t>Brief van de staatssecretaris van Binnenlandse Zaken en Koninkrijksrelaties</w:t>
      </w:r>
    </w:p>
    <w:p w:rsidRPr="009C5CF8" w:rsidR="009C5CF8" w:rsidP="009C5CF8" w:rsidRDefault="009C5CF8" w14:paraId="7B83E5F8" w14:textId="77777777">
      <w:pPr>
        <w:rPr>
          <w:rFonts w:ascii="Calibri" w:hAnsi="Calibri" w:cs="Calibri"/>
        </w:rPr>
      </w:pPr>
      <w:r w:rsidRPr="009C5CF8">
        <w:rPr>
          <w:rFonts w:ascii="Calibri" w:hAnsi="Calibri" w:cs="Calibri"/>
        </w:rPr>
        <w:t>Aan de Voorzitter van de Tweede Kamer der Staten-Generaal</w:t>
      </w:r>
    </w:p>
    <w:p w:rsidRPr="009C5CF8" w:rsidR="005B7B36" w:rsidP="009C5CF8" w:rsidRDefault="009C5CF8" w14:paraId="601290AE" w14:textId="05B45C4A">
      <w:pPr>
        <w:rPr>
          <w:rFonts w:ascii="Calibri" w:hAnsi="Calibri" w:cs="Calibri"/>
        </w:rPr>
      </w:pPr>
      <w:r w:rsidRPr="009C5CF8">
        <w:rPr>
          <w:rFonts w:ascii="Calibri" w:hAnsi="Calibri" w:cs="Calibri"/>
        </w:rPr>
        <w:t>Den Haag, 10 oktober 2025</w:t>
      </w:r>
      <w:r w:rsidRPr="009C5CF8" w:rsidR="005B7B36">
        <w:rPr>
          <w:rFonts w:ascii="Calibri" w:hAnsi="Calibri" w:cs="Calibri"/>
        </w:rPr>
        <w:br/>
      </w:r>
      <w:r w:rsidRPr="009C5CF8" w:rsidR="005B7B36">
        <w:rPr>
          <w:rFonts w:ascii="Calibri" w:hAnsi="Calibri" w:cs="Calibri"/>
        </w:rPr>
        <w:br/>
        <w:t xml:space="preserve">Het College Aruba financieel toezicht (CAft), College financieel toezicht Curaçao en Sint Maarten (Cft) en College financieel toezicht Bonaire, Sint Eustatius en Saba (Cft BES) zenden eens per halfjaar een schriftelijk verslag over de uitgevoerde werkzaamheden en belangrijkste punten van advisering. </w:t>
      </w:r>
    </w:p>
    <w:p w:rsidRPr="009C5CF8" w:rsidR="005B7B36" w:rsidP="005B7B36" w:rsidRDefault="005B7B36" w14:paraId="4345509B" w14:textId="77777777">
      <w:pPr>
        <w:spacing w:after="0"/>
        <w:rPr>
          <w:rFonts w:ascii="Calibri" w:hAnsi="Calibri" w:cs="Calibri"/>
        </w:rPr>
      </w:pPr>
    </w:p>
    <w:p w:rsidRPr="009C5CF8" w:rsidR="005B7B36" w:rsidP="005B7B36" w:rsidRDefault="005B7B36" w14:paraId="55322BA4" w14:textId="77777777">
      <w:pPr>
        <w:spacing w:after="0"/>
        <w:rPr>
          <w:rFonts w:ascii="Calibri" w:hAnsi="Calibri" w:cs="Calibri"/>
        </w:rPr>
      </w:pPr>
      <w:r w:rsidRPr="009C5CF8">
        <w:rPr>
          <w:rFonts w:ascii="Calibri" w:hAnsi="Calibri" w:cs="Calibri"/>
        </w:rPr>
        <w:t>Bijgevoegd vindt u de rapportage over de periode januari tot en met juni 2025. Het verslag is vastgesteld in de Rijkministerraad van 26 september 2025.</w:t>
      </w:r>
    </w:p>
    <w:p w:rsidRPr="009C5CF8" w:rsidR="005B7B36" w:rsidP="005B7B36" w:rsidRDefault="005B7B36" w14:paraId="00C10A8C" w14:textId="77777777">
      <w:pPr>
        <w:spacing w:after="0"/>
        <w:rPr>
          <w:rFonts w:ascii="Calibri" w:hAnsi="Calibri" w:cs="Calibri"/>
        </w:rPr>
      </w:pPr>
    </w:p>
    <w:p w:rsidRPr="009C5CF8" w:rsidR="005B7B36" w:rsidP="005B7B36" w:rsidRDefault="005B7B36" w14:paraId="08BE59C8" w14:textId="77777777">
      <w:pPr>
        <w:spacing w:after="0"/>
        <w:rPr>
          <w:rFonts w:ascii="Calibri" w:hAnsi="Calibri" w:cs="Calibri"/>
          <w:b/>
          <w:bCs/>
        </w:rPr>
      </w:pPr>
      <w:r w:rsidRPr="009C5CF8">
        <w:rPr>
          <w:rFonts w:ascii="Calibri" w:hAnsi="Calibri" w:cs="Calibri"/>
          <w:b/>
          <w:bCs/>
        </w:rPr>
        <w:t>Inhoud halfjaarrapportage</w:t>
      </w:r>
    </w:p>
    <w:p w:rsidRPr="009C5CF8" w:rsidR="005B7B36" w:rsidP="005B7B36" w:rsidRDefault="005B7B36" w14:paraId="0986F4A0" w14:textId="77777777">
      <w:pPr>
        <w:pStyle w:val="Lijstalinea"/>
        <w:numPr>
          <w:ilvl w:val="0"/>
          <w:numId w:val="1"/>
        </w:numPr>
        <w:autoSpaceDN w:val="0"/>
        <w:spacing w:after="0" w:line="240" w:lineRule="atLeast"/>
        <w:textAlignment w:val="baseline"/>
        <w:rPr>
          <w:rFonts w:ascii="Calibri" w:hAnsi="Calibri" w:cs="Calibri"/>
        </w:rPr>
      </w:pPr>
      <w:r w:rsidRPr="009C5CF8">
        <w:rPr>
          <w:rFonts w:ascii="Calibri" w:hAnsi="Calibri" w:cs="Calibri"/>
        </w:rPr>
        <w:t xml:space="preserve">Het rapport beslaat de periode januari - juni 2025 en geeft een overzicht van de werkzaamheden en adviezen van de Colleges financieel toezicht voor Curaçao en Sint Maarten, Aruba en BES (Bonaire, Sint Eustatius en Saba). </w:t>
      </w:r>
    </w:p>
    <w:p w:rsidRPr="009C5CF8" w:rsidR="005B7B36" w:rsidP="005B7B36" w:rsidRDefault="005B7B36" w14:paraId="19634820" w14:textId="77777777">
      <w:pPr>
        <w:spacing w:after="0"/>
        <w:rPr>
          <w:rFonts w:ascii="Calibri" w:hAnsi="Calibri" w:cs="Calibri"/>
        </w:rPr>
      </w:pPr>
    </w:p>
    <w:p w:rsidRPr="009C5CF8" w:rsidR="005B7B36" w:rsidP="005B7B36" w:rsidRDefault="005B7B36" w14:paraId="10D2B2FB" w14:textId="77777777">
      <w:pPr>
        <w:pStyle w:val="Lijstalinea"/>
        <w:numPr>
          <w:ilvl w:val="0"/>
          <w:numId w:val="1"/>
        </w:numPr>
        <w:autoSpaceDN w:val="0"/>
        <w:spacing w:after="0" w:line="240" w:lineRule="atLeast"/>
        <w:textAlignment w:val="baseline"/>
        <w:rPr>
          <w:rFonts w:ascii="Calibri" w:hAnsi="Calibri" w:cs="Calibri"/>
        </w:rPr>
      </w:pPr>
      <w:r w:rsidRPr="009C5CF8">
        <w:rPr>
          <w:rFonts w:ascii="Calibri" w:hAnsi="Calibri" w:cs="Calibri"/>
        </w:rPr>
        <w:t xml:space="preserve">In de eerste helft van 2025 ging het economisch redelijk goed in de regio, maar er zijn wereldwijde risico’s. De colleges legden de nadruk op sterkere belastingdiensten, beter financieel beheer en houdbare schulden. </w:t>
      </w:r>
      <w:r w:rsidRPr="009C5CF8">
        <w:rPr>
          <w:rFonts w:ascii="Calibri" w:hAnsi="Calibri" w:cs="Calibri"/>
        </w:rPr>
        <w:br/>
      </w:r>
    </w:p>
    <w:p w:rsidRPr="009C5CF8" w:rsidR="005B7B36" w:rsidP="005B7B36" w:rsidRDefault="005B7B36" w14:paraId="7E28FD9E" w14:textId="77777777">
      <w:pPr>
        <w:pStyle w:val="Lijstalinea"/>
        <w:numPr>
          <w:ilvl w:val="0"/>
          <w:numId w:val="1"/>
        </w:numPr>
        <w:autoSpaceDN w:val="0"/>
        <w:spacing w:after="0" w:line="240" w:lineRule="atLeast"/>
        <w:textAlignment w:val="baseline"/>
        <w:rPr>
          <w:rFonts w:ascii="Calibri" w:hAnsi="Calibri" w:cs="Calibri"/>
        </w:rPr>
      </w:pPr>
      <w:r w:rsidRPr="009C5CF8">
        <w:rPr>
          <w:rFonts w:ascii="Calibri" w:hAnsi="Calibri" w:cs="Calibri"/>
        </w:rPr>
        <w:t>Er is vooruitgang geboekt op het gebied van financieel beheer. Aandacht blijft echter nodig voor onder andere uitvoeringskracht, achterblijvende belastinginkomsten en rentelasten. Het college adviseert om publieke investeringen te prioriteren, financiële ramingen te actualiseren en overschotten vooral te gebruiken voor schuldafbouw.</w:t>
      </w:r>
    </w:p>
    <w:p w:rsidRPr="009C5CF8" w:rsidR="005B7B36" w:rsidP="005B7B36" w:rsidRDefault="005B7B36" w14:paraId="059681F6" w14:textId="77777777">
      <w:pPr>
        <w:spacing w:after="0"/>
        <w:rPr>
          <w:rFonts w:ascii="Calibri" w:hAnsi="Calibri" w:cs="Calibri"/>
          <w:b/>
          <w:bCs/>
        </w:rPr>
      </w:pPr>
    </w:p>
    <w:p w:rsidRPr="009C5CF8" w:rsidR="005B7B36" w:rsidP="005B7B36" w:rsidRDefault="005B7B36" w14:paraId="7A047748" w14:textId="77777777">
      <w:pPr>
        <w:spacing w:after="0"/>
        <w:rPr>
          <w:rFonts w:ascii="Calibri" w:hAnsi="Calibri" w:cs="Calibri"/>
        </w:rPr>
      </w:pPr>
      <w:r w:rsidRPr="009C5CF8">
        <w:rPr>
          <w:rFonts w:ascii="Calibri" w:hAnsi="Calibri" w:cs="Calibri"/>
          <w:b/>
          <w:bCs/>
        </w:rPr>
        <w:t>Slot</w:t>
      </w:r>
      <w:r w:rsidRPr="009C5CF8">
        <w:rPr>
          <w:rFonts w:ascii="Calibri" w:hAnsi="Calibri" w:cs="Calibri"/>
        </w:rPr>
        <w:br/>
        <w:t xml:space="preserve">Het doet deugd om de economische groei en vooruitgang waar te nemen. Daarnaast blijven er aandachtspunten ter verbetering van de overheidsfinanciën en het financieel beheer. </w:t>
      </w:r>
    </w:p>
    <w:p w:rsidRPr="009C5CF8" w:rsidR="005B7B36" w:rsidP="005B7B36" w:rsidRDefault="005B7B36" w14:paraId="429A9249" w14:textId="77777777">
      <w:pPr>
        <w:spacing w:after="0"/>
        <w:rPr>
          <w:rFonts w:ascii="Calibri" w:hAnsi="Calibri" w:cs="Calibri"/>
        </w:rPr>
      </w:pPr>
      <w:r w:rsidRPr="009C5CF8">
        <w:rPr>
          <w:rFonts w:ascii="Calibri" w:hAnsi="Calibri" w:cs="Calibri"/>
        </w:rPr>
        <w:br/>
        <w:t>De aanbevelingen in de rapportage ondersteunen het streven naar structurele hervormingen op dit gebied. Hiermee wordt de basis gelegd voor gezonde overheidsfinanciën en de verdere economische ontwikkeling van de eilanden.</w:t>
      </w:r>
    </w:p>
    <w:p w:rsidRPr="009C5CF8" w:rsidR="005B7B36" w:rsidP="005B7B36" w:rsidRDefault="005B7B36" w14:paraId="3EEADC00" w14:textId="77777777">
      <w:pPr>
        <w:spacing w:after="0"/>
        <w:rPr>
          <w:rFonts w:ascii="Calibri" w:hAnsi="Calibri" w:cs="Calibri"/>
        </w:rPr>
      </w:pPr>
    </w:p>
    <w:p w:rsidRPr="009C5CF8" w:rsidR="005B7B36" w:rsidP="005B7B36" w:rsidRDefault="005B7B36" w14:paraId="5306D1E7" w14:textId="77777777">
      <w:pPr>
        <w:pStyle w:val="WitregelW1bodytekst"/>
        <w:rPr>
          <w:rFonts w:ascii="Calibri" w:hAnsi="Calibri" w:cs="Calibri"/>
          <w:sz w:val="22"/>
          <w:szCs w:val="22"/>
        </w:rPr>
      </w:pPr>
    </w:p>
    <w:p w:rsidRPr="009C5CF8" w:rsidR="005B7B36" w:rsidP="009C5CF8" w:rsidRDefault="005B7B36" w14:paraId="7F661E16" w14:textId="63221FE1">
      <w:pPr>
        <w:pStyle w:val="Geenafstand"/>
        <w:rPr>
          <w:rFonts w:ascii="Calibri" w:hAnsi="Calibri" w:cs="Calibri"/>
        </w:rPr>
      </w:pPr>
      <w:r w:rsidRPr="009C5CF8">
        <w:rPr>
          <w:rFonts w:ascii="Calibri" w:hAnsi="Calibri" w:cs="Calibri"/>
        </w:rPr>
        <w:t>De staatssecretaris van Binnenlandse Zaken en Koninkrijksrelaties,</w:t>
      </w:r>
      <w:r w:rsidRPr="009C5CF8">
        <w:rPr>
          <w:rFonts w:ascii="Calibri" w:hAnsi="Calibri" w:cs="Calibri"/>
        </w:rPr>
        <w:br/>
        <w:t>E</w:t>
      </w:r>
      <w:r w:rsidRPr="009C5CF8" w:rsidR="009C5CF8">
        <w:rPr>
          <w:rFonts w:ascii="Calibri" w:hAnsi="Calibri" w:cs="Calibri"/>
        </w:rPr>
        <w:t>.</w:t>
      </w:r>
      <w:r w:rsidRPr="009C5CF8">
        <w:rPr>
          <w:rFonts w:ascii="Calibri" w:hAnsi="Calibri" w:cs="Calibri"/>
        </w:rPr>
        <w:t xml:space="preserve"> van Marum</w:t>
      </w:r>
    </w:p>
    <w:p w:rsidRPr="009C5CF8" w:rsidR="00F80165" w:rsidP="005B7B36" w:rsidRDefault="00F80165" w14:paraId="0B9D2F33" w14:textId="77777777">
      <w:pPr>
        <w:spacing w:after="0"/>
        <w:rPr>
          <w:rFonts w:ascii="Calibri" w:hAnsi="Calibri" w:cs="Calibri"/>
        </w:rPr>
      </w:pPr>
    </w:p>
    <w:sectPr w:rsidRPr="009C5CF8" w:rsidR="00F80165" w:rsidSect="005B7B36">
      <w:headerReference w:type="even" r:id="rId10"/>
      <w:headerReference w:type="default" r:id="rId11"/>
      <w:footerReference w:type="even" r:id="rId12"/>
      <w:footerReference w:type="default" r:id="rId13"/>
      <w:headerReference w:type="first" r:id="rId14"/>
      <w:footerReference w:type="first" r:id="rId15"/>
      <w:pgSz w:w="11905" w:h="16837"/>
      <w:pgMar w:top="2127"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3D51" w14:textId="77777777" w:rsidR="005B7B36" w:rsidRDefault="005B7B36" w:rsidP="005B7B36">
      <w:pPr>
        <w:spacing w:after="0" w:line="240" w:lineRule="auto"/>
      </w:pPr>
      <w:r>
        <w:separator/>
      </w:r>
    </w:p>
  </w:endnote>
  <w:endnote w:type="continuationSeparator" w:id="0">
    <w:p w14:paraId="6A747E95" w14:textId="77777777" w:rsidR="005B7B36" w:rsidRDefault="005B7B36" w:rsidP="005B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C60" w14:textId="77777777" w:rsidR="005B7B36" w:rsidRPr="005B7B36" w:rsidRDefault="005B7B36" w:rsidP="005B7B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E6E9" w14:textId="77777777" w:rsidR="005B7B36" w:rsidRPr="005B7B36" w:rsidRDefault="005B7B36" w:rsidP="005B7B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378B" w14:textId="77777777" w:rsidR="005B7B36" w:rsidRPr="005B7B36" w:rsidRDefault="005B7B36" w:rsidP="005B7B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3AC0" w14:textId="77777777" w:rsidR="005B7B36" w:rsidRDefault="005B7B36" w:rsidP="005B7B36">
      <w:pPr>
        <w:spacing w:after="0" w:line="240" w:lineRule="auto"/>
      </w:pPr>
      <w:r>
        <w:separator/>
      </w:r>
    </w:p>
  </w:footnote>
  <w:footnote w:type="continuationSeparator" w:id="0">
    <w:p w14:paraId="7CCD05E1" w14:textId="77777777" w:rsidR="005B7B36" w:rsidRDefault="005B7B36" w:rsidP="005B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B8FE" w14:textId="77777777" w:rsidR="005B7B36" w:rsidRPr="005B7B36" w:rsidRDefault="005B7B36" w:rsidP="005B7B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F0F1" w14:textId="77777777" w:rsidR="005B7B36" w:rsidRPr="005B7B36" w:rsidRDefault="005B7B36" w:rsidP="005B7B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254" w14:textId="77777777" w:rsidR="005B7B36" w:rsidRPr="005B7B36" w:rsidRDefault="005B7B36" w:rsidP="005B7B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44B10"/>
    <w:multiLevelType w:val="hybridMultilevel"/>
    <w:tmpl w:val="91FA8BCE"/>
    <w:lvl w:ilvl="0" w:tplc="12DE51BE">
      <w:numFmt w:val="bullet"/>
      <w:lvlText w:val="•"/>
      <w:lvlJc w:val="left"/>
      <w:pPr>
        <w:ind w:left="720" w:hanging="360"/>
      </w:pPr>
      <w:rPr>
        <w:rFonts w:ascii="Verdana" w:eastAsia="DejaVu Sans" w:hAnsi="Verdana" w:cs="Lohit Hindi" w:hint="default"/>
      </w:rPr>
    </w:lvl>
    <w:lvl w:ilvl="1" w:tplc="75FA56CA" w:tentative="1">
      <w:start w:val="1"/>
      <w:numFmt w:val="bullet"/>
      <w:lvlText w:val="o"/>
      <w:lvlJc w:val="left"/>
      <w:pPr>
        <w:ind w:left="1440" w:hanging="360"/>
      </w:pPr>
      <w:rPr>
        <w:rFonts w:ascii="Courier New" w:hAnsi="Courier New" w:cs="Courier New" w:hint="default"/>
      </w:rPr>
    </w:lvl>
    <w:lvl w:ilvl="2" w:tplc="F4A851F2" w:tentative="1">
      <w:start w:val="1"/>
      <w:numFmt w:val="bullet"/>
      <w:lvlText w:val=""/>
      <w:lvlJc w:val="left"/>
      <w:pPr>
        <w:ind w:left="2160" w:hanging="360"/>
      </w:pPr>
      <w:rPr>
        <w:rFonts w:ascii="Wingdings" w:hAnsi="Wingdings" w:hint="default"/>
      </w:rPr>
    </w:lvl>
    <w:lvl w:ilvl="3" w:tplc="1FE4BD14" w:tentative="1">
      <w:start w:val="1"/>
      <w:numFmt w:val="bullet"/>
      <w:lvlText w:val=""/>
      <w:lvlJc w:val="left"/>
      <w:pPr>
        <w:ind w:left="2880" w:hanging="360"/>
      </w:pPr>
      <w:rPr>
        <w:rFonts w:ascii="Symbol" w:hAnsi="Symbol" w:hint="default"/>
      </w:rPr>
    </w:lvl>
    <w:lvl w:ilvl="4" w:tplc="1BD40D58" w:tentative="1">
      <w:start w:val="1"/>
      <w:numFmt w:val="bullet"/>
      <w:lvlText w:val="o"/>
      <w:lvlJc w:val="left"/>
      <w:pPr>
        <w:ind w:left="3600" w:hanging="360"/>
      </w:pPr>
      <w:rPr>
        <w:rFonts w:ascii="Courier New" w:hAnsi="Courier New" w:cs="Courier New" w:hint="default"/>
      </w:rPr>
    </w:lvl>
    <w:lvl w:ilvl="5" w:tplc="413C1FE2" w:tentative="1">
      <w:start w:val="1"/>
      <w:numFmt w:val="bullet"/>
      <w:lvlText w:val=""/>
      <w:lvlJc w:val="left"/>
      <w:pPr>
        <w:ind w:left="4320" w:hanging="360"/>
      </w:pPr>
      <w:rPr>
        <w:rFonts w:ascii="Wingdings" w:hAnsi="Wingdings" w:hint="default"/>
      </w:rPr>
    </w:lvl>
    <w:lvl w:ilvl="6" w:tplc="820C8636" w:tentative="1">
      <w:start w:val="1"/>
      <w:numFmt w:val="bullet"/>
      <w:lvlText w:val=""/>
      <w:lvlJc w:val="left"/>
      <w:pPr>
        <w:ind w:left="5040" w:hanging="360"/>
      </w:pPr>
      <w:rPr>
        <w:rFonts w:ascii="Symbol" w:hAnsi="Symbol" w:hint="default"/>
      </w:rPr>
    </w:lvl>
    <w:lvl w:ilvl="7" w:tplc="3C94606C" w:tentative="1">
      <w:start w:val="1"/>
      <w:numFmt w:val="bullet"/>
      <w:lvlText w:val="o"/>
      <w:lvlJc w:val="left"/>
      <w:pPr>
        <w:ind w:left="5760" w:hanging="360"/>
      </w:pPr>
      <w:rPr>
        <w:rFonts w:ascii="Courier New" w:hAnsi="Courier New" w:cs="Courier New" w:hint="default"/>
      </w:rPr>
    </w:lvl>
    <w:lvl w:ilvl="8" w:tplc="A9A22896" w:tentative="1">
      <w:start w:val="1"/>
      <w:numFmt w:val="bullet"/>
      <w:lvlText w:val=""/>
      <w:lvlJc w:val="left"/>
      <w:pPr>
        <w:ind w:left="6480" w:hanging="360"/>
      </w:pPr>
      <w:rPr>
        <w:rFonts w:ascii="Wingdings" w:hAnsi="Wingdings" w:hint="default"/>
      </w:rPr>
    </w:lvl>
  </w:abstractNum>
  <w:num w:numId="1" w16cid:durableId="141246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6"/>
    <w:rsid w:val="003F36AA"/>
    <w:rsid w:val="005B7B36"/>
    <w:rsid w:val="006B32FF"/>
    <w:rsid w:val="007F2084"/>
    <w:rsid w:val="009C5CF8"/>
    <w:rsid w:val="00E863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99D5"/>
  <w15:chartTrackingRefBased/>
  <w15:docId w15:val="{3EC68A2A-37CE-4BDB-BF61-098B6CD0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B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B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B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B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B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B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B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B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B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B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B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B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B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B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B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B36"/>
    <w:rPr>
      <w:rFonts w:eastAsiaTheme="majorEastAsia" w:cstheme="majorBidi"/>
      <w:color w:val="272727" w:themeColor="text1" w:themeTint="D8"/>
    </w:rPr>
  </w:style>
  <w:style w:type="paragraph" w:styleId="Titel">
    <w:name w:val="Title"/>
    <w:basedOn w:val="Standaard"/>
    <w:next w:val="Standaard"/>
    <w:link w:val="TitelChar"/>
    <w:uiPriority w:val="10"/>
    <w:qFormat/>
    <w:rsid w:val="005B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B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B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B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B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B36"/>
    <w:rPr>
      <w:i/>
      <w:iCs/>
      <w:color w:val="404040" w:themeColor="text1" w:themeTint="BF"/>
    </w:rPr>
  </w:style>
  <w:style w:type="paragraph" w:styleId="Lijstalinea">
    <w:name w:val="List Paragraph"/>
    <w:basedOn w:val="Standaard"/>
    <w:uiPriority w:val="34"/>
    <w:qFormat/>
    <w:rsid w:val="005B7B36"/>
    <w:pPr>
      <w:ind w:left="720"/>
      <w:contextualSpacing/>
    </w:pPr>
  </w:style>
  <w:style w:type="character" w:styleId="Intensievebenadrukking">
    <w:name w:val="Intense Emphasis"/>
    <w:basedOn w:val="Standaardalinea-lettertype"/>
    <w:uiPriority w:val="21"/>
    <w:qFormat/>
    <w:rsid w:val="005B7B36"/>
    <w:rPr>
      <w:i/>
      <w:iCs/>
      <w:color w:val="0F4761" w:themeColor="accent1" w:themeShade="BF"/>
    </w:rPr>
  </w:style>
  <w:style w:type="paragraph" w:styleId="Duidelijkcitaat">
    <w:name w:val="Intense Quote"/>
    <w:basedOn w:val="Standaard"/>
    <w:next w:val="Standaard"/>
    <w:link w:val="DuidelijkcitaatChar"/>
    <w:uiPriority w:val="30"/>
    <w:qFormat/>
    <w:rsid w:val="005B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B36"/>
    <w:rPr>
      <w:i/>
      <w:iCs/>
      <w:color w:val="0F4761" w:themeColor="accent1" w:themeShade="BF"/>
    </w:rPr>
  </w:style>
  <w:style w:type="character" w:styleId="Intensieveverwijzing">
    <w:name w:val="Intense Reference"/>
    <w:basedOn w:val="Standaardalinea-lettertype"/>
    <w:uiPriority w:val="32"/>
    <w:qFormat/>
    <w:rsid w:val="005B7B36"/>
    <w:rPr>
      <w:b/>
      <w:bCs/>
      <w:smallCaps/>
      <w:color w:val="0F4761" w:themeColor="accent1" w:themeShade="BF"/>
      <w:spacing w:val="5"/>
    </w:rPr>
  </w:style>
  <w:style w:type="paragraph" w:customStyle="1" w:styleId="WitregelW1bodytekst">
    <w:name w:val="Witregel W1 (bodytekst)"/>
    <w:basedOn w:val="Standaard"/>
    <w:next w:val="Standaard"/>
    <w:rsid w:val="005B7B3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B7B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7B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7B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7B3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C5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ap:Words>
  <ap:Characters>1717</ap:Characters>
  <ap:DocSecurity>0</ap:DocSecurity>
  <ap:Lines>14</ap:Lines>
  <ap:Paragraphs>4</ap:Paragraphs>
  <ap:ScaleCrop>false</ap:ScaleCrop>
  <ap:LinksUpToDate>false</ap:LinksUpToDate>
  <ap:CharactersWithSpaces>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2025-10-14T12:53:00.0000000Z</dcterms:created>
  <dcterms:modified xsi:type="dcterms:W3CDTF">2025-10-14T12:53:00.0000000Z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