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791A" w:rsidR="00A7252C" w:rsidP="0035791A" w:rsidRDefault="00A7252C" w14:paraId="5763775D" w14:textId="77B580F7">
      <w:pPr>
        <w:spacing w:after="0" w:line="360" w:lineRule="auto"/>
        <w:ind w:left="1418" w:hanging="1418"/>
        <w:rPr>
          <w:rFonts w:ascii="Times New Roman" w:hAnsi="Times New Roman" w:cs="Times New Roman"/>
          <w:b/>
          <w:bCs/>
          <w:sz w:val="24"/>
          <w:szCs w:val="24"/>
        </w:rPr>
      </w:pPr>
      <w:r w:rsidRPr="0035791A">
        <w:rPr>
          <w:rFonts w:ascii="Times New Roman" w:hAnsi="Times New Roman" w:cs="Times New Roman"/>
          <w:b/>
          <w:sz w:val="24"/>
          <w:szCs w:val="24"/>
        </w:rPr>
        <w:t>36</w:t>
      </w:r>
      <w:r w:rsidRPr="0035791A" w:rsidR="00231095">
        <w:rPr>
          <w:rFonts w:ascii="Times New Roman" w:hAnsi="Times New Roman" w:cs="Times New Roman"/>
          <w:b/>
          <w:sz w:val="24"/>
          <w:szCs w:val="24"/>
        </w:rPr>
        <w:t xml:space="preserve"> </w:t>
      </w:r>
      <w:r w:rsidRPr="0035791A">
        <w:rPr>
          <w:rFonts w:ascii="Times New Roman" w:hAnsi="Times New Roman" w:cs="Times New Roman"/>
          <w:b/>
          <w:sz w:val="24"/>
          <w:szCs w:val="24"/>
        </w:rPr>
        <w:t>7</w:t>
      </w:r>
      <w:r w:rsidRPr="0035791A" w:rsidR="001733F1">
        <w:rPr>
          <w:rFonts w:ascii="Times New Roman" w:hAnsi="Times New Roman" w:cs="Times New Roman"/>
          <w:b/>
          <w:sz w:val="24"/>
          <w:szCs w:val="24"/>
        </w:rPr>
        <w:t>4</w:t>
      </w:r>
      <w:r w:rsidRPr="0035791A">
        <w:rPr>
          <w:rFonts w:ascii="Times New Roman" w:hAnsi="Times New Roman" w:cs="Times New Roman"/>
          <w:b/>
          <w:sz w:val="24"/>
          <w:szCs w:val="24"/>
        </w:rPr>
        <w:t>3</w:t>
      </w:r>
      <w:bookmarkStart w:name="_Hlk200975673" w:id="0"/>
      <w:r w:rsidRPr="0035791A" w:rsidR="0035791A">
        <w:rPr>
          <w:rFonts w:ascii="Times New Roman" w:hAnsi="Times New Roman" w:cs="Times New Roman"/>
          <w:b/>
          <w:sz w:val="24"/>
          <w:szCs w:val="24"/>
        </w:rPr>
        <w:tab/>
      </w:r>
      <w:r w:rsidRPr="0035791A" w:rsidR="00231095">
        <w:rPr>
          <w:rFonts w:ascii="Times New Roman" w:hAnsi="Times New Roman" w:cs="Times New Roman"/>
          <w:b/>
          <w:bCs/>
          <w:sz w:val="24"/>
          <w:szCs w:val="24"/>
        </w:rPr>
        <w:t>Wijziging van Boek 8 van het Burgerlijk Wetboek in verband met de</w:t>
      </w:r>
      <w:r w:rsidRPr="0035791A" w:rsidR="0035791A">
        <w:rPr>
          <w:rFonts w:ascii="Times New Roman" w:hAnsi="Times New Roman" w:cs="Times New Roman"/>
          <w:b/>
          <w:bCs/>
          <w:sz w:val="24"/>
          <w:szCs w:val="24"/>
        </w:rPr>
        <w:t xml:space="preserve"> </w:t>
      </w:r>
      <w:r w:rsidRPr="0035791A" w:rsidR="00231095">
        <w:rPr>
          <w:rFonts w:ascii="Times New Roman" w:hAnsi="Times New Roman" w:cs="Times New Roman"/>
          <w:b/>
          <w:bCs/>
          <w:sz w:val="24"/>
          <w:szCs w:val="24"/>
        </w:rPr>
        <w:t>invoering van het elektronisch cognossement</w:t>
      </w:r>
      <w:bookmarkEnd w:id="0"/>
    </w:p>
    <w:p w:rsidRPr="0035791A" w:rsidR="00130A1D" w:rsidP="009F3C3C" w:rsidRDefault="00130A1D" w14:paraId="586047C8" w14:textId="77777777">
      <w:pPr>
        <w:spacing w:after="0" w:line="360" w:lineRule="auto"/>
        <w:ind w:left="1416" w:hanging="1416"/>
        <w:rPr>
          <w:rFonts w:ascii="Times New Roman" w:hAnsi="Times New Roman" w:cs="Times New Roman"/>
          <w:b/>
          <w:bCs/>
          <w:sz w:val="24"/>
          <w:szCs w:val="24"/>
        </w:rPr>
      </w:pPr>
    </w:p>
    <w:p w:rsidRPr="0035791A" w:rsidR="0035791A" w:rsidP="009F3C3C" w:rsidRDefault="0035791A" w14:paraId="4229EECF" w14:textId="77777777">
      <w:pPr>
        <w:spacing w:after="0" w:line="360" w:lineRule="auto"/>
        <w:ind w:left="1416" w:hanging="1416"/>
        <w:rPr>
          <w:rFonts w:ascii="Times New Roman" w:hAnsi="Times New Roman" w:cs="Times New Roman"/>
          <w:b/>
          <w:bCs/>
          <w:sz w:val="24"/>
          <w:szCs w:val="24"/>
        </w:rPr>
      </w:pPr>
    </w:p>
    <w:p w:rsidRPr="0035791A" w:rsidR="00130A1D" w:rsidP="0035791A" w:rsidRDefault="0035791A" w14:paraId="4A606ED2" w14:textId="239A3F6C">
      <w:pPr>
        <w:spacing w:after="0" w:line="240" w:lineRule="auto"/>
        <w:ind w:left="1416" w:hanging="1416"/>
        <w:rPr>
          <w:rFonts w:ascii="Times New Roman" w:hAnsi="Times New Roman" w:cs="Times New Roman"/>
          <w:sz w:val="24"/>
          <w:szCs w:val="24"/>
        </w:rPr>
      </w:pPr>
      <w:r w:rsidRPr="0035791A">
        <w:rPr>
          <w:rFonts w:ascii="Times New Roman" w:hAnsi="Times New Roman" w:cs="Times New Roman"/>
          <w:b/>
          <w:bCs/>
          <w:sz w:val="24"/>
          <w:szCs w:val="24"/>
        </w:rPr>
        <w:t>Nr. 6</w:t>
      </w:r>
      <w:r w:rsidRPr="0035791A">
        <w:rPr>
          <w:rFonts w:ascii="Times New Roman" w:hAnsi="Times New Roman" w:cs="Times New Roman"/>
          <w:b/>
          <w:bCs/>
          <w:sz w:val="24"/>
          <w:szCs w:val="24"/>
        </w:rPr>
        <w:tab/>
      </w:r>
      <w:r w:rsidRPr="0035791A" w:rsidR="00130A1D">
        <w:rPr>
          <w:rFonts w:ascii="Times New Roman" w:hAnsi="Times New Roman" w:cs="Times New Roman"/>
          <w:b/>
          <w:bCs/>
          <w:sz w:val="24"/>
          <w:szCs w:val="24"/>
        </w:rPr>
        <w:t>NOTA NAAR AANLEIDING VAN HET VERSLAG</w:t>
      </w:r>
    </w:p>
    <w:p w:rsidRPr="0035791A" w:rsidR="0035791A" w:rsidP="0035791A" w:rsidRDefault="0035791A" w14:paraId="6879D500" w14:textId="2E56DA61">
      <w:pPr>
        <w:spacing w:after="0" w:line="240" w:lineRule="auto"/>
        <w:rPr>
          <w:rFonts w:ascii="Times New Roman" w:hAnsi="Times New Roman" w:cs="Times New Roman"/>
          <w:bCs/>
          <w:sz w:val="24"/>
          <w:szCs w:val="24"/>
        </w:rPr>
      </w:pPr>
      <w:r w:rsidRPr="0035791A">
        <w:rPr>
          <w:rFonts w:ascii="Times New Roman" w:hAnsi="Times New Roman" w:cs="Times New Roman"/>
          <w:bCs/>
          <w:sz w:val="24"/>
          <w:szCs w:val="24"/>
        </w:rPr>
        <w:tab/>
      </w:r>
      <w:r w:rsidRPr="0035791A">
        <w:rPr>
          <w:rFonts w:ascii="Times New Roman" w:hAnsi="Times New Roman" w:cs="Times New Roman"/>
          <w:bCs/>
          <w:sz w:val="24"/>
          <w:szCs w:val="24"/>
        </w:rPr>
        <w:tab/>
        <w:t>Ontvangen 15 oktober 2025</w:t>
      </w:r>
    </w:p>
    <w:p w:rsidRPr="0035791A" w:rsidR="00130A1D" w:rsidP="009F3C3C" w:rsidRDefault="00061143" w14:paraId="170D9484" w14:textId="215F84E4">
      <w:pPr>
        <w:spacing w:after="0" w:line="360" w:lineRule="auto"/>
        <w:rPr>
          <w:rFonts w:ascii="Times New Roman" w:hAnsi="Times New Roman" w:cs="Times New Roman"/>
          <w:bCs/>
          <w:sz w:val="24"/>
          <w:szCs w:val="24"/>
        </w:rPr>
      </w:pPr>
      <w:r w:rsidRPr="0035791A">
        <w:rPr>
          <w:rFonts w:ascii="Times New Roman" w:hAnsi="Times New Roman" w:cs="Times New Roman"/>
          <w:b/>
          <w:sz w:val="24"/>
          <w:szCs w:val="24"/>
        </w:rPr>
        <w:br/>
      </w:r>
      <w:r w:rsidRPr="0035791A" w:rsidR="00130A1D">
        <w:rPr>
          <w:rFonts w:ascii="Times New Roman" w:hAnsi="Times New Roman" w:cs="Times New Roman"/>
          <w:bCs/>
          <w:sz w:val="24"/>
          <w:szCs w:val="24"/>
        </w:rPr>
        <w:t xml:space="preserve">De vaste commissie </w:t>
      </w:r>
      <w:r w:rsidRPr="0035791A" w:rsidR="00606D68">
        <w:rPr>
          <w:rFonts w:ascii="Times New Roman" w:hAnsi="Times New Roman" w:cs="Times New Roman"/>
          <w:bCs/>
          <w:sz w:val="24"/>
          <w:szCs w:val="24"/>
        </w:rPr>
        <w:t xml:space="preserve">voor </w:t>
      </w:r>
      <w:r w:rsidRPr="0035791A" w:rsidR="00130A1D">
        <w:rPr>
          <w:rFonts w:ascii="Times New Roman" w:hAnsi="Times New Roman" w:cs="Times New Roman"/>
          <w:bCs/>
          <w:sz w:val="24"/>
          <w:szCs w:val="24"/>
        </w:rPr>
        <w:t>Justitie en Veiligheid heeft op 6 juni jl. verslag uitgebracht van haar bevindingen ten aanzien van het wetsvoorstel tot</w:t>
      </w:r>
      <w:r w:rsidRPr="0035791A" w:rsidR="00130A1D">
        <w:rPr>
          <w:rFonts w:ascii="Times New Roman" w:hAnsi="Times New Roman" w:cs="Times New Roman"/>
          <w:sz w:val="24"/>
          <w:szCs w:val="24"/>
        </w:rPr>
        <w:t xml:space="preserve"> </w:t>
      </w:r>
      <w:r w:rsidRPr="0035791A" w:rsidR="00130A1D">
        <w:rPr>
          <w:rFonts w:ascii="Times New Roman" w:hAnsi="Times New Roman" w:cs="Times New Roman"/>
          <w:bCs/>
          <w:sz w:val="24"/>
          <w:szCs w:val="24"/>
        </w:rPr>
        <w:t>Wijziging van Boek 8 van het Burgerlijk Wetboek in verband met de invoering van het elektronisch cognossement. De commissie heeft hierbij opgemerkt dat zij de openbare behandeling van dit wetsvoorstel voldoende voorbereid acht, onder het voorbehoud dat de regering de vragen en opmerkingen in het verslag afdoende beantwoordt.</w:t>
      </w:r>
    </w:p>
    <w:p w:rsidRPr="0035791A" w:rsidR="00FB4D10" w:rsidP="009F3C3C" w:rsidRDefault="00FB4D10" w14:paraId="51D2AA9E" w14:textId="77777777">
      <w:pPr>
        <w:spacing w:after="0" w:line="360" w:lineRule="auto"/>
        <w:rPr>
          <w:rFonts w:ascii="Times New Roman" w:hAnsi="Times New Roman" w:cs="Times New Roman"/>
          <w:bCs/>
          <w:sz w:val="24"/>
          <w:szCs w:val="24"/>
        </w:rPr>
      </w:pPr>
    </w:p>
    <w:p w:rsidRPr="0035791A" w:rsidR="00130A1D" w:rsidP="009F3C3C" w:rsidRDefault="00130A1D" w14:paraId="003428A3" w14:textId="33A3C076">
      <w:pPr>
        <w:spacing w:after="0" w:line="360" w:lineRule="auto"/>
        <w:rPr>
          <w:rFonts w:ascii="Times New Roman" w:hAnsi="Times New Roman" w:cs="Times New Roman"/>
          <w:bCs/>
          <w:sz w:val="24"/>
          <w:szCs w:val="24"/>
        </w:rPr>
      </w:pPr>
      <w:r w:rsidRPr="0035791A">
        <w:rPr>
          <w:rFonts w:ascii="Times New Roman" w:hAnsi="Times New Roman" w:cs="Times New Roman"/>
          <w:bCs/>
          <w:sz w:val="24"/>
          <w:szCs w:val="24"/>
        </w:rPr>
        <w:t xml:space="preserve">Met belangstelling heb ik kennisgenomen van de vragen en opmerkingen van de fracties van de VVD-, NSC- en de CDA-fractie. De D66-fractie onderschrijft de verdere digitalisering met betrekking tot het elektronisch cognossement en de verbetering van de efficiëntie in het goederenverkeer en ziet geen aanleiding voor een nadere inhoudelijk reactie. Ik zal de vragen, mede namens de Minister van Infrastructuur en Waterstaat, beantwoorden in de volgorde waarin zij zijn gesteld. </w:t>
      </w:r>
    </w:p>
    <w:p w:rsidRPr="0035791A" w:rsidR="00130A1D" w:rsidP="009F3C3C" w:rsidRDefault="00130A1D" w14:paraId="74560878" w14:textId="77777777">
      <w:pPr>
        <w:spacing w:after="0" w:line="360" w:lineRule="auto"/>
        <w:rPr>
          <w:rFonts w:ascii="Times New Roman" w:hAnsi="Times New Roman" w:cs="Times New Roman"/>
          <w:b/>
          <w:sz w:val="24"/>
          <w:szCs w:val="24"/>
        </w:rPr>
      </w:pPr>
    </w:p>
    <w:p w:rsidRPr="0035791A" w:rsidR="00130A1D" w:rsidP="009F3C3C" w:rsidRDefault="00317098" w14:paraId="16E6F58D" w14:textId="381AB9C8">
      <w:pPr>
        <w:spacing w:after="0" w:line="360" w:lineRule="auto"/>
        <w:rPr>
          <w:rFonts w:ascii="Times New Roman" w:hAnsi="Times New Roman" w:cs="Times New Roman"/>
          <w:b/>
          <w:bCs/>
          <w:sz w:val="24"/>
          <w:szCs w:val="24"/>
        </w:rPr>
      </w:pPr>
      <w:r w:rsidRPr="0035791A">
        <w:rPr>
          <w:rFonts w:ascii="Times New Roman" w:hAnsi="Times New Roman" w:cs="Times New Roman"/>
          <w:b/>
          <w:sz w:val="24"/>
          <w:szCs w:val="24"/>
        </w:rPr>
        <w:t xml:space="preserve">2. </w:t>
      </w:r>
      <w:r w:rsidRPr="0035791A">
        <w:rPr>
          <w:rFonts w:ascii="Times New Roman" w:hAnsi="Times New Roman" w:cs="Times New Roman"/>
          <w:b/>
          <w:bCs/>
          <w:sz w:val="24"/>
          <w:szCs w:val="24"/>
        </w:rPr>
        <w:t>Hoofdlijnen van het voorstel</w:t>
      </w:r>
    </w:p>
    <w:p w:rsidRPr="0035791A" w:rsidR="00130A1D" w:rsidP="009F3C3C" w:rsidRDefault="00317098" w14:paraId="0CE0CDF2" w14:textId="5CBF9E7F">
      <w:pPr>
        <w:spacing w:after="0" w:line="360" w:lineRule="auto"/>
        <w:rPr>
          <w:rFonts w:ascii="Times New Roman" w:hAnsi="Times New Roman" w:cs="Times New Roman"/>
          <w:sz w:val="24"/>
          <w:szCs w:val="24"/>
        </w:rPr>
      </w:pPr>
      <w:r w:rsidRPr="0035791A">
        <w:rPr>
          <w:rFonts w:ascii="Times New Roman" w:hAnsi="Times New Roman" w:cs="Times New Roman"/>
          <w:bCs/>
          <w:i/>
          <w:iCs/>
          <w:sz w:val="24"/>
          <w:szCs w:val="24"/>
        </w:rPr>
        <w:t>2.1 Algemene ontwikkelingen t</w:t>
      </w:r>
      <w:r w:rsidRPr="0035791A" w:rsidR="009E41E4">
        <w:rPr>
          <w:rFonts w:ascii="Times New Roman" w:hAnsi="Times New Roman" w:cs="Times New Roman"/>
          <w:bCs/>
          <w:i/>
          <w:iCs/>
          <w:sz w:val="24"/>
          <w:szCs w:val="24"/>
        </w:rPr>
        <w:t>en aanzien van</w:t>
      </w:r>
      <w:r w:rsidRPr="0035791A">
        <w:rPr>
          <w:rFonts w:ascii="Times New Roman" w:hAnsi="Times New Roman" w:cs="Times New Roman"/>
          <w:bCs/>
          <w:i/>
          <w:iCs/>
          <w:sz w:val="24"/>
          <w:szCs w:val="24"/>
        </w:rPr>
        <w:t xml:space="preserve"> elektronische cognossementen</w:t>
      </w:r>
      <w:r w:rsidRPr="0035791A" w:rsidR="00061143">
        <w:rPr>
          <w:rFonts w:ascii="Times New Roman" w:hAnsi="Times New Roman" w:cs="Times New Roman"/>
          <w:bCs/>
          <w:i/>
          <w:iCs/>
          <w:sz w:val="24"/>
          <w:szCs w:val="24"/>
        </w:rPr>
        <w:br/>
      </w:r>
      <w:r w:rsidRPr="0035791A" w:rsidR="00061143">
        <w:rPr>
          <w:rFonts w:ascii="Times New Roman" w:hAnsi="Times New Roman" w:cs="Times New Roman"/>
          <w:bCs/>
          <w:i/>
          <w:iCs/>
          <w:sz w:val="24"/>
          <w:szCs w:val="24"/>
        </w:rPr>
        <w:br/>
      </w:r>
      <w:r w:rsidRPr="0035791A" w:rsidR="00DD39F1">
        <w:rPr>
          <w:rFonts w:ascii="Times New Roman" w:hAnsi="Times New Roman" w:cs="Times New Roman"/>
          <w:i/>
          <w:iCs/>
          <w:sz w:val="24"/>
          <w:szCs w:val="24"/>
        </w:rPr>
        <w:t xml:space="preserve">De leden van de VVD-fractie stellen voorop dat het belangrijk is dat het Burgerlijk Wetboek bij de tijd wordt gebracht en zo goed mogelijk aansluit bij de ontwikkelingen van deze tijd. In dat kader vragen </w:t>
      </w:r>
      <w:r w:rsidRPr="0035791A" w:rsidR="006F6ACC">
        <w:rPr>
          <w:rFonts w:ascii="Times New Roman" w:hAnsi="Times New Roman" w:cs="Times New Roman"/>
          <w:i/>
          <w:iCs/>
          <w:sz w:val="24"/>
          <w:szCs w:val="24"/>
        </w:rPr>
        <w:t>deze leden</w:t>
      </w:r>
      <w:r w:rsidRPr="0035791A" w:rsidR="00DD39F1">
        <w:rPr>
          <w:rFonts w:ascii="Times New Roman" w:hAnsi="Times New Roman" w:cs="Times New Roman"/>
          <w:i/>
          <w:iCs/>
          <w:sz w:val="24"/>
          <w:szCs w:val="24"/>
        </w:rPr>
        <w:t xml:space="preserve"> of het huidige wetsvoorstel zo techniek-neutraal mogelijk is opgeschreven. Kan de regering in dat kader aangeven of ook bij toepassingen van artificiële intelligentie bij het internationaal goederenvervoer het wetsvoorstel voldoende ruimte biedt en in die zin toekomstbestendig is?</w:t>
      </w:r>
      <w:r w:rsidRPr="0035791A" w:rsidR="00DD39F1">
        <w:rPr>
          <w:rFonts w:ascii="Times New Roman" w:hAnsi="Times New Roman" w:cs="Times New Roman"/>
          <w:sz w:val="24"/>
          <w:szCs w:val="24"/>
        </w:rPr>
        <w:t xml:space="preserve"> </w:t>
      </w:r>
      <w:r w:rsidRPr="0035791A" w:rsidR="00061143">
        <w:rPr>
          <w:rFonts w:ascii="Times New Roman" w:hAnsi="Times New Roman" w:cs="Times New Roman"/>
          <w:bCs/>
          <w:iCs/>
          <w:sz w:val="24"/>
          <w:szCs w:val="24"/>
        </w:rPr>
        <w:br/>
      </w:r>
      <w:r w:rsidRPr="0035791A" w:rsidR="00FF2615">
        <w:rPr>
          <w:rFonts w:ascii="Times New Roman" w:hAnsi="Times New Roman" w:cs="Times New Roman"/>
          <w:sz w:val="24"/>
          <w:szCs w:val="24"/>
        </w:rPr>
        <w:t xml:space="preserve">Het wetsvoorstel is inderdaad techniekneutraal </w:t>
      </w:r>
      <w:r w:rsidRPr="0035791A" w:rsidR="00795690">
        <w:rPr>
          <w:rFonts w:ascii="Times New Roman" w:hAnsi="Times New Roman" w:cs="Times New Roman"/>
          <w:sz w:val="24"/>
          <w:szCs w:val="24"/>
        </w:rPr>
        <w:t>opgesteld</w:t>
      </w:r>
      <w:r w:rsidRPr="0035791A" w:rsidR="00FF2615">
        <w:rPr>
          <w:rFonts w:ascii="Times New Roman" w:hAnsi="Times New Roman" w:cs="Times New Roman"/>
          <w:sz w:val="24"/>
          <w:szCs w:val="24"/>
        </w:rPr>
        <w:t xml:space="preserve">. Hier is voor gekozen, omdat </w:t>
      </w:r>
      <w:r w:rsidRPr="0035791A" w:rsidR="00130A1D">
        <w:rPr>
          <w:rFonts w:ascii="Times New Roman" w:hAnsi="Times New Roman" w:cs="Times New Roman"/>
          <w:sz w:val="24"/>
          <w:szCs w:val="24"/>
        </w:rPr>
        <w:t>de ontwikkelingen op technologisch gebied snel gaan</w:t>
      </w:r>
      <w:r w:rsidRPr="0035791A" w:rsidR="001E3093">
        <w:rPr>
          <w:rFonts w:ascii="Times New Roman" w:hAnsi="Times New Roman" w:cs="Times New Roman"/>
          <w:sz w:val="24"/>
          <w:szCs w:val="24"/>
        </w:rPr>
        <w:t>.</w:t>
      </w:r>
      <w:r w:rsidRPr="0035791A" w:rsidR="00FF2615">
        <w:rPr>
          <w:rFonts w:ascii="Times New Roman" w:hAnsi="Times New Roman" w:cs="Times New Roman"/>
          <w:sz w:val="24"/>
          <w:szCs w:val="24"/>
        </w:rPr>
        <w:t xml:space="preserve"> Zo zijn er initiatieven die gebruik maken van een Trusted Third Party (een TTP, een onafhankelijk derde die de data-uitwisseling faciliteert)</w:t>
      </w:r>
      <w:r w:rsidRPr="0035791A" w:rsidR="00A75BAB">
        <w:rPr>
          <w:rFonts w:ascii="Times New Roman" w:hAnsi="Times New Roman" w:cs="Times New Roman"/>
          <w:sz w:val="24"/>
          <w:szCs w:val="24"/>
        </w:rPr>
        <w:t>,</w:t>
      </w:r>
      <w:r w:rsidRPr="0035791A" w:rsidR="00FF2615">
        <w:rPr>
          <w:rFonts w:ascii="Times New Roman" w:hAnsi="Times New Roman" w:cs="Times New Roman"/>
          <w:sz w:val="24"/>
          <w:szCs w:val="24"/>
        </w:rPr>
        <w:t xml:space="preserve"> maar ook blockchain kan inmiddels worden gebruikt</w:t>
      </w:r>
      <w:r w:rsidRPr="0035791A" w:rsidR="00B30410">
        <w:rPr>
          <w:rFonts w:ascii="Times New Roman" w:hAnsi="Times New Roman" w:cs="Times New Roman"/>
          <w:sz w:val="24"/>
          <w:szCs w:val="24"/>
        </w:rPr>
        <w:t xml:space="preserve"> en ook </w:t>
      </w:r>
      <w:r w:rsidRPr="0035791A" w:rsidR="00FF2615">
        <w:rPr>
          <w:rFonts w:ascii="Times New Roman" w:hAnsi="Times New Roman" w:cs="Times New Roman"/>
          <w:sz w:val="24"/>
          <w:szCs w:val="24"/>
        </w:rPr>
        <w:t>a</w:t>
      </w:r>
      <w:r w:rsidRPr="0035791A" w:rsidR="00130A1D">
        <w:rPr>
          <w:rFonts w:ascii="Times New Roman" w:hAnsi="Times New Roman" w:cs="Times New Roman"/>
          <w:sz w:val="24"/>
          <w:szCs w:val="24"/>
        </w:rPr>
        <w:t>rtificiële intelligentie</w:t>
      </w:r>
      <w:r w:rsidRPr="0035791A" w:rsidR="00F76350">
        <w:rPr>
          <w:rFonts w:ascii="Times New Roman" w:hAnsi="Times New Roman" w:cs="Times New Roman"/>
          <w:sz w:val="24"/>
          <w:szCs w:val="24"/>
        </w:rPr>
        <w:t xml:space="preserve"> </w:t>
      </w:r>
      <w:r w:rsidRPr="0035791A" w:rsidR="00B30410">
        <w:rPr>
          <w:rFonts w:ascii="Times New Roman" w:hAnsi="Times New Roman" w:cs="Times New Roman"/>
          <w:sz w:val="24"/>
          <w:szCs w:val="24"/>
        </w:rPr>
        <w:t xml:space="preserve">zal zeer waarschijnlijk in de toekomst </w:t>
      </w:r>
      <w:r w:rsidRPr="0035791A" w:rsidR="00F76350">
        <w:rPr>
          <w:rFonts w:ascii="Times New Roman" w:hAnsi="Times New Roman" w:cs="Times New Roman"/>
          <w:sz w:val="24"/>
          <w:szCs w:val="24"/>
        </w:rPr>
        <w:t>worden gebruikt</w:t>
      </w:r>
      <w:r w:rsidRPr="0035791A" w:rsidR="00FF2615">
        <w:rPr>
          <w:rFonts w:ascii="Times New Roman" w:hAnsi="Times New Roman" w:cs="Times New Roman"/>
          <w:sz w:val="24"/>
          <w:szCs w:val="24"/>
        </w:rPr>
        <w:t xml:space="preserve">, voor zover dat niet al </w:t>
      </w:r>
      <w:r w:rsidRPr="0035791A" w:rsidR="00FF2615">
        <w:rPr>
          <w:rFonts w:ascii="Times New Roman" w:hAnsi="Times New Roman" w:cs="Times New Roman"/>
          <w:sz w:val="24"/>
          <w:szCs w:val="24"/>
        </w:rPr>
        <w:lastRenderedPageBreak/>
        <w:t xml:space="preserve">gebeurt. In het wetsvoorstel is er daarom voor gekozen om een aantal </w:t>
      </w:r>
      <w:r w:rsidRPr="0035791A" w:rsidR="009B6580">
        <w:rPr>
          <w:rFonts w:ascii="Times New Roman" w:hAnsi="Times New Roman" w:cs="Times New Roman"/>
          <w:sz w:val="24"/>
          <w:szCs w:val="24"/>
        </w:rPr>
        <w:t xml:space="preserve">functionele </w:t>
      </w:r>
      <w:r w:rsidRPr="0035791A" w:rsidR="00FF2615">
        <w:rPr>
          <w:rFonts w:ascii="Times New Roman" w:hAnsi="Times New Roman" w:cs="Times New Roman"/>
          <w:sz w:val="24"/>
          <w:szCs w:val="24"/>
        </w:rPr>
        <w:t>vereisten te stellen aan het elektronisch bestand, zoals dat er een betrouwbare methode moet zijn voor het waarborgen van de authenticiteit van, de zeggenschap over en de integriteit van het elektronisch bestand</w:t>
      </w:r>
      <w:r w:rsidRPr="0035791A" w:rsidR="00B30A7C">
        <w:rPr>
          <w:rFonts w:ascii="Times New Roman" w:hAnsi="Times New Roman" w:cs="Times New Roman"/>
          <w:sz w:val="24"/>
          <w:szCs w:val="24"/>
        </w:rPr>
        <w:t>. Dit zijn techniek-neutrale vereisten, waarbij d</w:t>
      </w:r>
      <w:r w:rsidRPr="0035791A" w:rsidR="00FF2615">
        <w:rPr>
          <w:rFonts w:ascii="Times New Roman" w:hAnsi="Times New Roman" w:cs="Times New Roman"/>
          <w:sz w:val="24"/>
          <w:szCs w:val="24"/>
        </w:rPr>
        <w:t xml:space="preserve">e </w:t>
      </w:r>
      <w:r w:rsidRPr="0035791A" w:rsidR="009B6580">
        <w:rPr>
          <w:rFonts w:ascii="Times New Roman" w:hAnsi="Times New Roman" w:cs="Times New Roman"/>
          <w:sz w:val="24"/>
          <w:szCs w:val="24"/>
        </w:rPr>
        <w:t xml:space="preserve">technische </w:t>
      </w:r>
      <w:r w:rsidRPr="0035791A" w:rsidR="00FF2615">
        <w:rPr>
          <w:rFonts w:ascii="Times New Roman" w:hAnsi="Times New Roman" w:cs="Times New Roman"/>
          <w:sz w:val="24"/>
          <w:szCs w:val="24"/>
        </w:rPr>
        <w:t xml:space="preserve">invulling aan de </w:t>
      </w:r>
      <w:r w:rsidRPr="0035791A" w:rsidR="00B30A7C">
        <w:rPr>
          <w:rFonts w:ascii="Times New Roman" w:hAnsi="Times New Roman" w:cs="Times New Roman"/>
          <w:sz w:val="24"/>
          <w:szCs w:val="24"/>
        </w:rPr>
        <w:t xml:space="preserve">praktijk wordt </w:t>
      </w:r>
      <w:r w:rsidRPr="0035791A" w:rsidR="00FF2615">
        <w:rPr>
          <w:rFonts w:ascii="Times New Roman" w:hAnsi="Times New Roman" w:cs="Times New Roman"/>
          <w:sz w:val="24"/>
          <w:szCs w:val="24"/>
        </w:rPr>
        <w:t xml:space="preserve">gelaten. Hierdoor is de regeling </w:t>
      </w:r>
      <w:r w:rsidRPr="0035791A" w:rsidR="00B30410">
        <w:rPr>
          <w:rFonts w:ascii="Times New Roman" w:hAnsi="Times New Roman" w:cs="Times New Roman"/>
          <w:sz w:val="24"/>
          <w:szCs w:val="24"/>
        </w:rPr>
        <w:t>toekomstbestendig. A</w:t>
      </w:r>
      <w:r w:rsidRPr="0035791A" w:rsidR="00FF2615">
        <w:rPr>
          <w:rFonts w:ascii="Times New Roman" w:hAnsi="Times New Roman" w:cs="Times New Roman"/>
          <w:sz w:val="24"/>
          <w:szCs w:val="24"/>
        </w:rPr>
        <w:t xml:space="preserve">rtificiële intelligentie </w:t>
      </w:r>
      <w:r w:rsidRPr="0035791A" w:rsidR="00B30410">
        <w:rPr>
          <w:rFonts w:ascii="Times New Roman" w:hAnsi="Times New Roman" w:cs="Times New Roman"/>
          <w:sz w:val="24"/>
          <w:szCs w:val="24"/>
        </w:rPr>
        <w:t>kan</w:t>
      </w:r>
      <w:r w:rsidRPr="0035791A" w:rsidR="008952B3">
        <w:rPr>
          <w:rFonts w:ascii="Times New Roman" w:hAnsi="Times New Roman" w:cs="Times New Roman"/>
          <w:sz w:val="24"/>
          <w:szCs w:val="24"/>
        </w:rPr>
        <w:t>, binnen de kaders die daarvoor gelden,</w:t>
      </w:r>
      <w:r w:rsidRPr="0035791A" w:rsidR="00B30410">
        <w:rPr>
          <w:rFonts w:ascii="Times New Roman" w:hAnsi="Times New Roman" w:cs="Times New Roman"/>
          <w:sz w:val="24"/>
          <w:szCs w:val="24"/>
        </w:rPr>
        <w:t xml:space="preserve"> dus ook zeker </w:t>
      </w:r>
      <w:r w:rsidRPr="0035791A" w:rsidR="00FF2615">
        <w:rPr>
          <w:rFonts w:ascii="Times New Roman" w:hAnsi="Times New Roman" w:cs="Times New Roman"/>
          <w:sz w:val="24"/>
          <w:szCs w:val="24"/>
        </w:rPr>
        <w:t xml:space="preserve">worden </w:t>
      </w:r>
      <w:r w:rsidRPr="0035791A" w:rsidR="00F76350">
        <w:rPr>
          <w:rFonts w:ascii="Times New Roman" w:hAnsi="Times New Roman" w:cs="Times New Roman"/>
          <w:sz w:val="24"/>
          <w:szCs w:val="24"/>
        </w:rPr>
        <w:t>toegepast</w:t>
      </w:r>
      <w:r w:rsidRPr="0035791A" w:rsidR="00FF2615">
        <w:rPr>
          <w:rFonts w:ascii="Times New Roman" w:hAnsi="Times New Roman" w:cs="Times New Roman"/>
          <w:sz w:val="24"/>
          <w:szCs w:val="24"/>
        </w:rPr>
        <w:t xml:space="preserve"> bij het gebruik van een elektronisch cognossement.</w:t>
      </w:r>
      <w:r w:rsidRPr="0035791A" w:rsidR="000D2006">
        <w:rPr>
          <w:rFonts w:ascii="Times New Roman" w:hAnsi="Times New Roman" w:cs="Times New Roman"/>
          <w:sz w:val="24"/>
          <w:szCs w:val="24"/>
        </w:rPr>
        <w:t xml:space="preserve"> </w:t>
      </w:r>
    </w:p>
    <w:p w:rsidRPr="0035791A" w:rsidR="009F3C3C" w:rsidP="009F3C3C" w:rsidRDefault="009F3C3C" w14:paraId="10E01410" w14:textId="77777777">
      <w:pPr>
        <w:spacing w:after="0" w:line="360" w:lineRule="auto"/>
        <w:rPr>
          <w:rFonts w:ascii="Times New Roman" w:hAnsi="Times New Roman" w:cs="Times New Roman"/>
          <w:sz w:val="24"/>
          <w:szCs w:val="24"/>
        </w:rPr>
      </w:pPr>
    </w:p>
    <w:p w:rsidRPr="0035791A" w:rsidR="002334DF" w:rsidP="009F3C3C" w:rsidRDefault="00DD39F1" w14:paraId="7F99F049" w14:textId="77777777">
      <w:pPr>
        <w:spacing w:after="0" w:line="360" w:lineRule="auto"/>
        <w:rPr>
          <w:rFonts w:ascii="Times New Roman" w:hAnsi="Times New Roman" w:cs="Times New Roman"/>
          <w:i/>
          <w:iCs/>
          <w:sz w:val="24"/>
          <w:szCs w:val="24"/>
        </w:rPr>
      </w:pPr>
      <w:r w:rsidRPr="0035791A">
        <w:rPr>
          <w:rFonts w:ascii="Times New Roman" w:hAnsi="Times New Roman" w:cs="Times New Roman"/>
          <w:i/>
          <w:iCs/>
          <w:sz w:val="24"/>
          <w:szCs w:val="24"/>
        </w:rPr>
        <w:t xml:space="preserve">De leden van de VVD-fractie vragen ter verduidelijking welke opmerkingen van de Raad voor de </w:t>
      </w:r>
      <w:r w:rsidRPr="0035791A" w:rsidR="00F93F4A">
        <w:rPr>
          <w:rFonts w:ascii="Times New Roman" w:hAnsi="Times New Roman" w:cs="Times New Roman"/>
          <w:i/>
          <w:iCs/>
          <w:sz w:val="24"/>
          <w:szCs w:val="24"/>
        </w:rPr>
        <w:t>r</w:t>
      </w:r>
      <w:r w:rsidRPr="0035791A">
        <w:rPr>
          <w:rFonts w:ascii="Times New Roman" w:hAnsi="Times New Roman" w:cs="Times New Roman"/>
          <w:i/>
          <w:iCs/>
          <w:sz w:val="24"/>
          <w:szCs w:val="24"/>
        </w:rPr>
        <w:t>echtspraak (</w:t>
      </w:r>
      <w:r w:rsidRPr="0035791A" w:rsidR="00F93F4A">
        <w:rPr>
          <w:rFonts w:ascii="Times New Roman" w:hAnsi="Times New Roman" w:cs="Times New Roman"/>
          <w:i/>
          <w:iCs/>
          <w:sz w:val="24"/>
          <w:szCs w:val="24"/>
        </w:rPr>
        <w:t xml:space="preserve">hierna: </w:t>
      </w:r>
      <w:r w:rsidRPr="0035791A">
        <w:rPr>
          <w:rFonts w:ascii="Times New Roman" w:hAnsi="Times New Roman" w:cs="Times New Roman"/>
          <w:i/>
          <w:iCs/>
          <w:sz w:val="24"/>
          <w:szCs w:val="24"/>
        </w:rPr>
        <w:t>Rvd</w:t>
      </w:r>
      <w:r w:rsidRPr="0035791A" w:rsidR="00F93F4A">
        <w:rPr>
          <w:rFonts w:ascii="Times New Roman" w:hAnsi="Times New Roman" w:cs="Times New Roman"/>
          <w:i/>
          <w:iCs/>
          <w:sz w:val="24"/>
          <w:szCs w:val="24"/>
        </w:rPr>
        <w:t>r</w:t>
      </w:r>
      <w:r w:rsidRPr="0035791A">
        <w:rPr>
          <w:rFonts w:ascii="Times New Roman" w:hAnsi="Times New Roman" w:cs="Times New Roman"/>
          <w:i/>
          <w:iCs/>
          <w:sz w:val="24"/>
          <w:szCs w:val="24"/>
        </w:rPr>
        <w:t>) niet zijn overgenomen in het wetsvoorstel, nu de Rvd</w:t>
      </w:r>
      <w:r w:rsidRPr="0035791A" w:rsidR="00DA265B">
        <w:rPr>
          <w:rFonts w:ascii="Times New Roman" w:hAnsi="Times New Roman" w:cs="Times New Roman"/>
          <w:i/>
          <w:iCs/>
          <w:sz w:val="24"/>
          <w:szCs w:val="24"/>
        </w:rPr>
        <w:t>r</w:t>
      </w:r>
      <w:r w:rsidRPr="0035791A">
        <w:rPr>
          <w:rFonts w:ascii="Times New Roman" w:hAnsi="Times New Roman" w:cs="Times New Roman"/>
          <w:i/>
          <w:iCs/>
          <w:sz w:val="24"/>
          <w:szCs w:val="24"/>
        </w:rPr>
        <w:t xml:space="preserve"> concludeerde dat de toelichting niet altijd duidelijk en in lijn is met de voorgestelde wetstekst. </w:t>
      </w:r>
    </w:p>
    <w:p w:rsidRPr="0035791A" w:rsidR="002334DF" w:rsidP="009F3C3C" w:rsidRDefault="00A76A53" w14:paraId="6506FC48" w14:textId="2B5E06B2">
      <w:pPr>
        <w:spacing w:after="0" w:line="360" w:lineRule="auto"/>
        <w:rPr>
          <w:rFonts w:ascii="Times New Roman" w:hAnsi="Times New Roman" w:cs="Times New Roman"/>
          <w:sz w:val="24"/>
          <w:szCs w:val="24"/>
        </w:rPr>
      </w:pPr>
      <w:r w:rsidRPr="0035791A">
        <w:rPr>
          <w:rFonts w:ascii="Times New Roman" w:hAnsi="Times New Roman" w:cs="Times New Roman"/>
          <w:sz w:val="24"/>
          <w:szCs w:val="24"/>
        </w:rPr>
        <w:t>Het advies van de Rvdr is, samen met de andere ontvangen adviezen, verwerkt in het wetsvoorstel. Dit heeft ertoe geleid dat het wetsvoorstel op verschillende punten is gewijzigd. Zo heeft de Rvdr meerdere opmerkingen gemaakt over de regeling voor gecombineerd vervoer, waarbij gebruikt wordt gemaakt van een zogenaamd CT-document. De Rvdr heeft o.a. opgemerkt dat niet duidelijk is of de regeling voor iedere modaliteit mogelijk en wenselijk is. Dit heeft er, samen met</w:t>
      </w:r>
      <w:r w:rsidRPr="0035791A" w:rsidR="00B12F86">
        <w:rPr>
          <w:rFonts w:ascii="Times New Roman" w:hAnsi="Times New Roman" w:cs="Times New Roman"/>
          <w:sz w:val="24"/>
          <w:szCs w:val="24"/>
        </w:rPr>
        <w:t xml:space="preserve"> de</w:t>
      </w:r>
      <w:r w:rsidRPr="0035791A">
        <w:rPr>
          <w:rFonts w:ascii="Times New Roman" w:hAnsi="Times New Roman" w:cs="Times New Roman"/>
          <w:sz w:val="24"/>
          <w:szCs w:val="24"/>
        </w:rPr>
        <w:t xml:space="preserve"> andere </w:t>
      </w:r>
      <w:r w:rsidRPr="0035791A" w:rsidR="00B12F86">
        <w:rPr>
          <w:rFonts w:ascii="Times New Roman" w:hAnsi="Times New Roman" w:cs="Times New Roman"/>
          <w:sz w:val="24"/>
          <w:szCs w:val="24"/>
        </w:rPr>
        <w:t xml:space="preserve">ontvangen </w:t>
      </w:r>
      <w:r w:rsidRPr="0035791A">
        <w:rPr>
          <w:rFonts w:ascii="Times New Roman" w:hAnsi="Times New Roman" w:cs="Times New Roman"/>
          <w:sz w:val="24"/>
          <w:szCs w:val="24"/>
        </w:rPr>
        <w:t xml:space="preserve">reacties, toe geleid dat de regeling voor het CT-document is geschrapt uit het wetsvoorstel. De overige opmerkingen </w:t>
      </w:r>
      <w:r w:rsidRPr="0035791A" w:rsidR="000C2A21">
        <w:rPr>
          <w:rFonts w:ascii="Times New Roman" w:hAnsi="Times New Roman" w:cs="Times New Roman"/>
          <w:sz w:val="24"/>
          <w:szCs w:val="24"/>
        </w:rPr>
        <w:t xml:space="preserve">van de Rvdr </w:t>
      </w:r>
      <w:r w:rsidRPr="0035791A">
        <w:rPr>
          <w:rFonts w:ascii="Times New Roman" w:hAnsi="Times New Roman" w:cs="Times New Roman"/>
          <w:sz w:val="24"/>
          <w:szCs w:val="24"/>
        </w:rPr>
        <w:t>over het CT-document zijn daarom niet verder verwerkt, omdat de gehele regeling is komen te vervallen.</w:t>
      </w:r>
      <w:r w:rsidRPr="0035791A" w:rsidR="00B12F86">
        <w:rPr>
          <w:rFonts w:ascii="Times New Roman" w:hAnsi="Times New Roman" w:cs="Times New Roman"/>
          <w:sz w:val="24"/>
          <w:szCs w:val="24"/>
        </w:rPr>
        <w:t xml:space="preserve"> De overige opmerkingen van de Rvdr zijn wel verwerkt en </w:t>
      </w:r>
      <w:r w:rsidRPr="0035791A" w:rsidR="00795690">
        <w:rPr>
          <w:rFonts w:ascii="Times New Roman" w:hAnsi="Times New Roman" w:cs="Times New Roman"/>
          <w:sz w:val="24"/>
          <w:szCs w:val="24"/>
        </w:rPr>
        <w:t xml:space="preserve">hebben </w:t>
      </w:r>
      <w:r w:rsidRPr="0035791A" w:rsidR="00B12F86">
        <w:rPr>
          <w:rFonts w:ascii="Times New Roman" w:hAnsi="Times New Roman" w:cs="Times New Roman"/>
          <w:sz w:val="24"/>
          <w:szCs w:val="24"/>
        </w:rPr>
        <w:t>met name geleid tot aanpassingen in de toelichting, bijvoorbeeld over de verhouding met de Hague Visby Rules en Boek 10</w:t>
      </w:r>
      <w:r w:rsidRPr="0035791A" w:rsidR="00384CE4">
        <w:rPr>
          <w:rFonts w:ascii="Times New Roman" w:hAnsi="Times New Roman" w:cs="Times New Roman"/>
          <w:sz w:val="24"/>
          <w:szCs w:val="24"/>
        </w:rPr>
        <w:t xml:space="preserve"> van het Burgerlijk Wetboek</w:t>
      </w:r>
      <w:r w:rsidRPr="0035791A" w:rsidR="00B12F86">
        <w:rPr>
          <w:rFonts w:ascii="Times New Roman" w:hAnsi="Times New Roman" w:cs="Times New Roman"/>
          <w:sz w:val="24"/>
          <w:szCs w:val="24"/>
        </w:rPr>
        <w:t xml:space="preserve"> </w:t>
      </w:r>
      <w:r w:rsidRPr="0035791A" w:rsidR="00384CE4">
        <w:rPr>
          <w:rFonts w:ascii="Times New Roman" w:hAnsi="Times New Roman" w:cs="Times New Roman"/>
          <w:sz w:val="24"/>
          <w:szCs w:val="24"/>
        </w:rPr>
        <w:t>(</w:t>
      </w:r>
      <w:r w:rsidRPr="0035791A" w:rsidR="00B12F86">
        <w:rPr>
          <w:rFonts w:ascii="Times New Roman" w:hAnsi="Times New Roman" w:cs="Times New Roman"/>
          <w:sz w:val="24"/>
          <w:szCs w:val="24"/>
        </w:rPr>
        <w:t>BW</w:t>
      </w:r>
      <w:r w:rsidRPr="0035791A" w:rsidR="00384CE4">
        <w:rPr>
          <w:rFonts w:ascii="Times New Roman" w:hAnsi="Times New Roman" w:cs="Times New Roman"/>
          <w:sz w:val="24"/>
          <w:szCs w:val="24"/>
        </w:rPr>
        <w:t>)</w:t>
      </w:r>
      <w:r w:rsidRPr="0035791A" w:rsidR="00B12F86">
        <w:rPr>
          <w:rFonts w:ascii="Times New Roman" w:hAnsi="Times New Roman" w:cs="Times New Roman"/>
          <w:sz w:val="24"/>
          <w:szCs w:val="24"/>
        </w:rPr>
        <w:t xml:space="preserve">. Ook is de wettekst aangepast en is (nog) </w:t>
      </w:r>
      <w:r w:rsidRPr="0035791A" w:rsidR="00795690">
        <w:rPr>
          <w:rFonts w:ascii="Times New Roman" w:hAnsi="Times New Roman" w:cs="Times New Roman"/>
          <w:sz w:val="24"/>
          <w:szCs w:val="24"/>
        </w:rPr>
        <w:t xml:space="preserve">meer </w:t>
      </w:r>
      <w:r w:rsidRPr="0035791A" w:rsidR="00B12F86">
        <w:rPr>
          <w:rFonts w:ascii="Times New Roman" w:hAnsi="Times New Roman" w:cs="Times New Roman"/>
          <w:sz w:val="24"/>
          <w:szCs w:val="24"/>
        </w:rPr>
        <w:t>aangesloten bij de MLETR, hetgeen ook in de toelichting is verwerkt. Het wetsvoorstel en de toelichting zijn hierdoor</w:t>
      </w:r>
      <w:r w:rsidRPr="0035791A" w:rsidR="00795690">
        <w:rPr>
          <w:rFonts w:ascii="Times New Roman" w:hAnsi="Times New Roman" w:cs="Times New Roman"/>
          <w:sz w:val="24"/>
          <w:szCs w:val="24"/>
        </w:rPr>
        <w:t xml:space="preserve"> geheel</w:t>
      </w:r>
      <w:r w:rsidRPr="0035791A" w:rsidR="00B12F86">
        <w:rPr>
          <w:rFonts w:ascii="Times New Roman" w:hAnsi="Times New Roman" w:cs="Times New Roman"/>
          <w:sz w:val="24"/>
          <w:szCs w:val="24"/>
        </w:rPr>
        <w:t xml:space="preserve"> in lijn met elkaar.</w:t>
      </w:r>
    </w:p>
    <w:p w:rsidRPr="0035791A" w:rsidR="00A76A53" w:rsidP="009F3C3C" w:rsidRDefault="00DD39F1" w14:paraId="5B4E13F9" w14:textId="5A42F2F5">
      <w:pPr>
        <w:spacing w:after="0" w:line="360" w:lineRule="auto"/>
        <w:rPr>
          <w:rFonts w:ascii="Times New Roman" w:hAnsi="Times New Roman" w:cs="Times New Roman"/>
          <w:i/>
          <w:iCs/>
          <w:sz w:val="24"/>
          <w:szCs w:val="24"/>
        </w:rPr>
      </w:pPr>
      <w:bookmarkStart w:name="_Hlk201139775" w:id="1"/>
      <w:r w:rsidRPr="0035791A">
        <w:rPr>
          <w:rFonts w:ascii="Times New Roman" w:hAnsi="Times New Roman" w:cs="Times New Roman"/>
          <w:i/>
          <w:iCs/>
          <w:sz w:val="24"/>
          <w:szCs w:val="24"/>
        </w:rPr>
        <w:t>De leden van de VVD-fractie vragen naar aanleiding van de keuze van de regering om</w:t>
      </w:r>
      <w:r w:rsidRPr="0035791A" w:rsidR="00DA6613">
        <w:rPr>
          <w:rFonts w:ascii="Times New Roman" w:hAnsi="Times New Roman" w:cs="Times New Roman"/>
          <w:i/>
          <w:iCs/>
          <w:sz w:val="24"/>
          <w:szCs w:val="24"/>
        </w:rPr>
        <w:t xml:space="preserve"> Combined Transport-documenten </w:t>
      </w:r>
      <w:r w:rsidRPr="0035791A" w:rsidR="00424EE1">
        <w:rPr>
          <w:rFonts w:ascii="Times New Roman" w:hAnsi="Times New Roman" w:cs="Times New Roman"/>
          <w:i/>
          <w:iCs/>
          <w:sz w:val="24"/>
          <w:szCs w:val="24"/>
        </w:rPr>
        <w:t xml:space="preserve">(hierna: </w:t>
      </w:r>
      <w:r w:rsidRPr="0035791A">
        <w:rPr>
          <w:rFonts w:ascii="Times New Roman" w:hAnsi="Times New Roman" w:cs="Times New Roman"/>
          <w:i/>
          <w:iCs/>
          <w:sz w:val="24"/>
          <w:szCs w:val="24"/>
        </w:rPr>
        <w:t>CT-documenten</w:t>
      </w:r>
      <w:r w:rsidRPr="0035791A" w:rsidR="00424EE1">
        <w:rPr>
          <w:rFonts w:ascii="Times New Roman" w:hAnsi="Times New Roman" w:cs="Times New Roman"/>
          <w:i/>
          <w:iCs/>
          <w:sz w:val="24"/>
          <w:szCs w:val="24"/>
        </w:rPr>
        <w:t>)</w:t>
      </w:r>
      <w:r w:rsidRPr="0035791A">
        <w:rPr>
          <w:rFonts w:ascii="Times New Roman" w:hAnsi="Times New Roman" w:cs="Times New Roman"/>
          <w:i/>
          <w:iCs/>
          <w:sz w:val="24"/>
          <w:szCs w:val="24"/>
        </w:rPr>
        <w:t xml:space="preserve"> niet mee te nemen in het wetsvoorstel</w:t>
      </w:r>
      <w:r w:rsidRPr="0035791A" w:rsidR="00950A2C">
        <w:rPr>
          <w:rFonts w:ascii="Times New Roman" w:hAnsi="Times New Roman" w:cs="Times New Roman"/>
          <w:i/>
          <w:iCs/>
          <w:sz w:val="24"/>
          <w:szCs w:val="24"/>
        </w:rPr>
        <w:t>,</w:t>
      </w:r>
      <w:r w:rsidRPr="0035791A">
        <w:rPr>
          <w:rFonts w:ascii="Times New Roman" w:hAnsi="Times New Roman" w:cs="Times New Roman"/>
          <w:i/>
          <w:iCs/>
          <w:sz w:val="24"/>
          <w:szCs w:val="24"/>
        </w:rPr>
        <w:t xml:space="preserve"> wanneer verwacht </w:t>
      </w:r>
      <w:r w:rsidRPr="0035791A" w:rsidR="002F4A69">
        <w:rPr>
          <w:rFonts w:ascii="Times New Roman" w:hAnsi="Times New Roman" w:cs="Times New Roman"/>
          <w:i/>
          <w:iCs/>
          <w:sz w:val="24"/>
          <w:szCs w:val="24"/>
        </w:rPr>
        <w:t xml:space="preserve">wordt </w:t>
      </w:r>
      <w:r w:rsidRPr="0035791A">
        <w:rPr>
          <w:rFonts w:ascii="Times New Roman" w:hAnsi="Times New Roman" w:cs="Times New Roman"/>
          <w:i/>
          <w:iCs/>
          <w:sz w:val="24"/>
          <w:szCs w:val="24"/>
        </w:rPr>
        <w:t xml:space="preserve">dat de internationale regels over CT-documenten in werking treden. Ook vragen </w:t>
      </w:r>
      <w:r w:rsidRPr="0035791A" w:rsidR="007C6EED">
        <w:rPr>
          <w:rFonts w:ascii="Times New Roman" w:hAnsi="Times New Roman" w:cs="Times New Roman"/>
          <w:i/>
          <w:iCs/>
          <w:sz w:val="24"/>
          <w:szCs w:val="24"/>
        </w:rPr>
        <w:t>deze leden</w:t>
      </w:r>
      <w:r w:rsidRPr="0035791A">
        <w:rPr>
          <w:rFonts w:ascii="Times New Roman" w:hAnsi="Times New Roman" w:cs="Times New Roman"/>
          <w:i/>
          <w:iCs/>
          <w:sz w:val="24"/>
          <w:szCs w:val="24"/>
        </w:rPr>
        <w:t xml:space="preserve"> of organisaties in de praktijk nogmaals zijn geconsulteerd over het besluit </w:t>
      </w:r>
      <w:r w:rsidRPr="0035791A" w:rsidR="009E41E4">
        <w:rPr>
          <w:rFonts w:ascii="Times New Roman" w:hAnsi="Times New Roman" w:cs="Times New Roman"/>
          <w:i/>
          <w:iCs/>
          <w:sz w:val="24"/>
          <w:szCs w:val="24"/>
        </w:rPr>
        <w:t xml:space="preserve">om </w:t>
      </w:r>
      <w:r w:rsidRPr="0035791A">
        <w:rPr>
          <w:rFonts w:ascii="Times New Roman" w:hAnsi="Times New Roman" w:cs="Times New Roman"/>
          <w:i/>
          <w:iCs/>
          <w:sz w:val="24"/>
          <w:szCs w:val="24"/>
        </w:rPr>
        <w:t>CT-documenten nu niet mee te nemen in het wetsvoorstel, omdat dit besluit pas na de consultatiefase lijkt te zijn genomen naar aanleiding van opmerkingen van de Rvd</w:t>
      </w:r>
      <w:r w:rsidRPr="0035791A" w:rsidR="001536AE">
        <w:rPr>
          <w:rFonts w:ascii="Times New Roman" w:hAnsi="Times New Roman" w:cs="Times New Roman"/>
          <w:i/>
          <w:iCs/>
          <w:sz w:val="24"/>
          <w:szCs w:val="24"/>
        </w:rPr>
        <w:t>r</w:t>
      </w:r>
      <w:r w:rsidRPr="0035791A">
        <w:rPr>
          <w:rFonts w:ascii="Times New Roman" w:hAnsi="Times New Roman" w:cs="Times New Roman"/>
          <w:i/>
          <w:iCs/>
          <w:sz w:val="24"/>
          <w:szCs w:val="24"/>
        </w:rPr>
        <w:t>. Zijn er in ons omringende landen zoals België, Frankrijk, Duitsland en het Verenigd Koninkrijk</w:t>
      </w:r>
      <w:r w:rsidRPr="0035791A" w:rsidR="00ED6848">
        <w:rPr>
          <w:rFonts w:ascii="Times New Roman" w:hAnsi="Times New Roman" w:cs="Times New Roman"/>
          <w:i/>
          <w:iCs/>
          <w:sz w:val="24"/>
          <w:szCs w:val="24"/>
        </w:rPr>
        <w:t>,</w:t>
      </w:r>
      <w:r w:rsidRPr="0035791A">
        <w:rPr>
          <w:rFonts w:ascii="Times New Roman" w:hAnsi="Times New Roman" w:cs="Times New Roman"/>
          <w:i/>
          <w:iCs/>
          <w:sz w:val="24"/>
          <w:szCs w:val="24"/>
        </w:rPr>
        <w:t xml:space="preserve"> wel al nationale regels over CT-documenten vernieuwd? Worden Nederlandse partijen door de keuze </w:t>
      </w:r>
      <w:r w:rsidRPr="0035791A" w:rsidR="00254DB2">
        <w:rPr>
          <w:rFonts w:ascii="Times New Roman" w:hAnsi="Times New Roman" w:cs="Times New Roman"/>
          <w:i/>
          <w:iCs/>
          <w:sz w:val="24"/>
          <w:szCs w:val="24"/>
        </w:rPr>
        <w:t xml:space="preserve">om </w:t>
      </w:r>
      <w:r w:rsidRPr="0035791A">
        <w:rPr>
          <w:rFonts w:ascii="Times New Roman" w:hAnsi="Times New Roman" w:cs="Times New Roman"/>
          <w:i/>
          <w:iCs/>
          <w:sz w:val="24"/>
          <w:szCs w:val="24"/>
        </w:rPr>
        <w:t>andere documenten</w:t>
      </w:r>
      <w:r w:rsidRPr="0035791A" w:rsidR="004F00B4">
        <w:rPr>
          <w:rFonts w:ascii="Times New Roman" w:hAnsi="Times New Roman" w:cs="Times New Roman"/>
          <w:i/>
          <w:iCs/>
          <w:sz w:val="24"/>
          <w:szCs w:val="24"/>
        </w:rPr>
        <w:t>,</w:t>
      </w:r>
      <w:r w:rsidRPr="0035791A">
        <w:rPr>
          <w:rFonts w:ascii="Times New Roman" w:hAnsi="Times New Roman" w:cs="Times New Roman"/>
          <w:i/>
          <w:iCs/>
          <w:sz w:val="24"/>
          <w:szCs w:val="24"/>
        </w:rPr>
        <w:t xml:space="preserve"> zoals CT-</w:t>
      </w:r>
      <w:r w:rsidRPr="0035791A">
        <w:rPr>
          <w:rFonts w:ascii="Times New Roman" w:hAnsi="Times New Roman" w:cs="Times New Roman"/>
          <w:i/>
          <w:iCs/>
          <w:sz w:val="24"/>
          <w:szCs w:val="24"/>
        </w:rPr>
        <w:lastRenderedPageBreak/>
        <w:t>documenten</w:t>
      </w:r>
      <w:r w:rsidRPr="0035791A" w:rsidR="004F00B4">
        <w:rPr>
          <w:rFonts w:ascii="Times New Roman" w:hAnsi="Times New Roman" w:cs="Times New Roman"/>
          <w:i/>
          <w:iCs/>
          <w:sz w:val="24"/>
          <w:szCs w:val="24"/>
        </w:rPr>
        <w:t>,</w:t>
      </w:r>
      <w:r w:rsidRPr="0035791A">
        <w:rPr>
          <w:rFonts w:ascii="Times New Roman" w:hAnsi="Times New Roman" w:cs="Times New Roman"/>
          <w:i/>
          <w:iCs/>
          <w:sz w:val="24"/>
          <w:szCs w:val="24"/>
        </w:rPr>
        <w:t xml:space="preserve"> pas bij de evaluatie te regelen</w:t>
      </w:r>
      <w:r w:rsidRPr="0035791A" w:rsidR="006A2AB8">
        <w:rPr>
          <w:rFonts w:ascii="Times New Roman" w:hAnsi="Times New Roman" w:cs="Times New Roman"/>
          <w:i/>
          <w:iCs/>
          <w:sz w:val="24"/>
          <w:szCs w:val="24"/>
        </w:rPr>
        <w:t>,</w:t>
      </w:r>
      <w:r w:rsidRPr="0035791A">
        <w:rPr>
          <w:rFonts w:ascii="Times New Roman" w:hAnsi="Times New Roman" w:cs="Times New Roman"/>
          <w:i/>
          <w:iCs/>
          <w:sz w:val="24"/>
          <w:szCs w:val="24"/>
        </w:rPr>
        <w:t xml:space="preserve"> benadeeld ten opzichte van partijen in deze landen? Graag ontvangen de</w:t>
      </w:r>
      <w:r w:rsidRPr="0035791A" w:rsidR="00ED6848">
        <w:rPr>
          <w:rFonts w:ascii="Times New Roman" w:hAnsi="Times New Roman" w:cs="Times New Roman"/>
          <w:i/>
          <w:iCs/>
          <w:sz w:val="24"/>
          <w:szCs w:val="24"/>
        </w:rPr>
        <w:t>ze</w:t>
      </w:r>
      <w:r w:rsidRPr="0035791A">
        <w:rPr>
          <w:rFonts w:ascii="Times New Roman" w:hAnsi="Times New Roman" w:cs="Times New Roman"/>
          <w:i/>
          <w:iCs/>
          <w:sz w:val="24"/>
          <w:szCs w:val="24"/>
        </w:rPr>
        <w:t xml:space="preserve"> leden een reactie hierop.</w:t>
      </w:r>
      <w:bookmarkEnd w:id="1"/>
    </w:p>
    <w:p w:rsidRPr="0035791A" w:rsidR="00543041" w:rsidP="00A76A53" w:rsidRDefault="00A76A53" w14:paraId="1414E175" w14:textId="300ACAAD">
      <w:pPr>
        <w:spacing w:after="0" w:line="360" w:lineRule="auto"/>
        <w:rPr>
          <w:rFonts w:ascii="Times New Roman" w:hAnsi="Times New Roman" w:cs="Times New Roman"/>
          <w:sz w:val="24"/>
          <w:szCs w:val="24"/>
        </w:rPr>
      </w:pPr>
      <w:r w:rsidRPr="0035791A">
        <w:rPr>
          <w:rFonts w:ascii="Times New Roman" w:hAnsi="Times New Roman" w:cs="Times New Roman"/>
          <w:sz w:val="24"/>
          <w:szCs w:val="24"/>
        </w:rPr>
        <w:t>Op dit moment wordt binnen UNCITRAL in een werkgroep (UNCITRAL Working Group VI</w:t>
      </w:r>
      <w:r w:rsidR="0035791A">
        <w:rPr>
          <w:rFonts w:ascii="Times New Roman" w:hAnsi="Times New Roman" w:cs="Times New Roman"/>
          <w:sz w:val="24"/>
          <w:szCs w:val="24"/>
        </w:rPr>
        <w:t xml:space="preserve"> </w:t>
      </w:r>
      <w:r w:rsidRPr="0035791A">
        <w:rPr>
          <w:rFonts w:ascii="Times New Roman" w:hAnsi="Times New Roman" w:cs="Times New Roman"/>
          <w:sz w:val="24"/>
          <w:szCs w:val="24"/>
        </w:rPr>
        <w:t xml:space="preserve">Negotiable Cargo Documents) gesproken over </w:t>
      </w:r>
      <w:r w:rsidRPr="0035791A" w:rsidR="002F302A">
        <w:rPr>
          <w:rFonts w:ascii="Times New Roman" w:hAnsi="Times New Roman" w:cs="Times New Roman"/>
          <w:sz w:val="24"/>
          <w:szCs w:val="24"/>
        </w:rPr>
        <w:t>een</w:t>
      </w:r>
      <w:r w:rsidRPr="0035791A" w:rsidR="00E43AB7">
        <w:rPr>
          <w:rFonts w:ascii="Times New Roman" w:hAnsi="Times New Roman" w:cs="Times New Roman"/>
          <w:sz w:val="24"/>
          <w:szCs w:val="24"/>
        </w:rPr>
        <w:t xml:space="preserve"> conceptverdrag inzake verhandelbare vrachtdocumenten. De volgende werkgroep staat gepland voor december 2025. Hierin zal worden gesproken over de ‘</w:t>
      </w:r>
      <w:r w:rsidRPr="0035791A" w:rsidR="00E43AB7">
        <w:rPr>
          <w:rFonts w:ascii="Times New Roman" w:hAnsi="Times New Roman" w:cs="Times New Roman"/>
          <w:i/>
          <w:iCs/>
          <w:sz w:val="24"/>
          <w:szCs w:val="24"/>
        </w:rPr>
        <w:t>explanatory note</w:t>
      </w:r>
      <w:r w:rsidRPr="0035791A" w:rsidR="00E43AB7">
        <w:rPr>
          <w:rFonts w:ascii="Times New Roman" w:hAnsi="Times New Roman" w:cs="Times New Roman"/>
          <w:sz w:val="24"/>
          <w:szCs w:val="24"/>
        </w:rPr>
        <w:t xml:space="preserve">’ (een </w:t>
      </w:r>
      <w:r w:rsidRPr="0035791A" w:rsidR="00B30A7C">
        <w:rPr>
          <w:rFonts w:ascii="Times New Roman" w:hAnsi="Times New Roman" w:cs="Times New Roman"/>
          <w:sz w:val="24"/>
          <w:szCs w:val="24"/>
        </w:rPr>
        <w:t xml:space="preserve">vorm </w:t>
      </w:r>
      <w:r w:rsidRPr="0035791A" w:rsidR="00E43AB7">
        <w:rPr>
          <w:rFonts w:ascii="Times New Roman" w:hAnsi="Times New Roman" w:cs="Times New Roman"/>
          <w:sz w:val="24"/>
          <w:szCs w:val="24"/>
        </w:rPr>
        <w:t xml:space="preserve">van toelichting) bij het verdrag. </w:t>
      </w:r>
      <w:r w:rsidRPr="0035791A" w:rsidR="004C3C26">
        <w:rPr>
          <w:rFonts w:ascii="Times New Roman" w:hAnsi="Times New Roman" w:cs="Times New Roman"/>
          <w:sz w:val="24"/>
          <w:szCs w:val="24"/>
        </w:rPr>
        <w:t xml:space="preserve">Het verdrag zal vervolgens </w:t>
      </w:r>
      <w:r w:rsidRPr="0035791A" w:rsidR="00B30410">
        <w:rPr>
          <w:rFonts w:ascii="Times New Roman" w:hAnsi="Times New Roman" w:cs="Times New Roman"/>
          <w:sz w:val="24"/>
          <w:szCs w:val="24"/>
        </w:rPr>
        <w:t xml:space="preserve">pas in werking kunnen treden </w:t>
      </w:r>
      <w:r w:rsidRPr="0035791A" w:rsidR="004C3C26">
        <w:rPr>
          <w:rFonts w:ascii="Times New Roman" w:hAnsi="Times New Roman" w:cs="Times New Roman"/>
          <w:sz w:val="24"/>
          <w:szCs w:val="24"/>
        </w:rPr>
        <w:t>na de</w:t>
      </w:r>
      <w:r w:rsidRPr="0035791A" w:rsidR="008402A6">
        <w:rPr>
          <w:rFonts w:ascii="Times New Roman" w:hAnsi="Times New Roman" w:cs="Times New Roman"/>
          <w:sz w:val="24"/>
          <w:szCs w:val="24"/>
        </w:rPr>
        <w:t xml:space="preserve"> drie</w:t>
      </w:r>
      <w:r w:rsidRPr="0035791A" w:rsidR="004C3C26">
        <w:rPr>
          <w:rFonts w:ascii="Times New Roman" w:hAnsi="Times New Roman" w:cs="Times New Roman"/>
          <w:sz w:val="24"/>
          <w:szCs w:val="24"/>
        </w:rPr>
        <w:t xml:space="preserve"> benodigde ratificaties. Het is </w:t>
      </w:r>
      <w:r w:rsidRPr="0035791A" w:rsidR="002F302A">
        <w:rPr>
          <w:rFonts w:ascii="Times New Roman" w:hAnsi="Times New Roman" w:cs="Times New Roman"/>
          <w:sz w:val="24"/>
          <w:szCs w:val="24"/>
        </w:rPr>
        <w:t xml:space="preserve">daarom </w:t>
      </w:r>
      <w:r w:rsidRPr="0035791A" w:rsidR="004C3C26">
        <w:rPr>
          <w:rFonts w:ascii="Times New Roman" w:hAnsi="Times New Roman" w:cs="Times New Roman"/>
          <w:sz w:val="24"/>
          <w:szCs w:val="24"/>
        </w:rPr>
        <w:t xml:space="preserve">op dit moment </w:t>
      </w:r>
      <w:r w:rsidRPr="0035791A" w:rsidR="002F302A">
        <w:rPr>
          <w:rFonts w:ascii="Times New Roman" w:hAnsi="Times New Roman" w:cs="Times New Roman"/>
          <w:sz w:val="24"/>
          <w:szCs w:val="24"/>
        </w:rPr>
        <w:t xml:space="preserve">nog </w:t>
      </w:r>
      <w:r w:rsidRPr="0035791A" w:rsidR="004C3C26">
        <w:rPr>
          <w:rFonts w:ascii="Times New Roman" w:hAnsi="Times New Roman" w:cs="Times New Roman"/>
          <w:sz w:val="24"/>
          <w:szCs w:val="24"/>
        </w:rPr>
        <w:t xml:space="preserve">niet te zeggen wanneer </w:t>
      </w:r>
      <w:r w:rsidRPr="0035791A" w:rsidR="002F302A">
        <w:rPr>
          <w:rFonts w:ascii="Times New Roman" w:hAnsi="Times New Roman" w:cs="Times New Roman"/>
          <w:sz w:val="24"/>
          <w:szCs w:val="24"/>
        </w:rPr>
        <w:t>het verdrag in werking zal treden</w:t>
      </w:r>
      <w:r w:rsidRPr="0035791A" w:rsidR="004C3C26">
        <w:rPr>
          <w:rFonts w:ascii="Times New Roman" w:hAnsi="Times New Roman" w:cs="Times New Roman"/>
          <w:sz w:val="24"/>
          <w:szCs w:val="24"/>
        </w:rPr>
        <w:t xml:space="preserve">. </w:t>
      </w:r>
    </w:p>
    <w:p w:rsidRPr="0035791A" w:rsidR="00F80DA3" w:rsidP="0035791A" w:rsidRDefault="000C7E23" w14:paraId="31322840" w14:textId="2EF7DDC4">
      <w:pPr>
        <w:spacing w:after="0" w:line="360" w:lineRule="auto"/>
        <w:rPr>
          <w:rFonts w:ascii="Times New Roman" w:hAnsi="Times New Roman" w:cs="Times New Roman"/>
          <w:sz w:val="24"/>
          <w:szCs w:val="24"/>
        </w:rPr>
      </w:pPr>
      <w:r w:rsidRPr="0035791A">
        <w:rPr>
          <w:rFonts w:ascii="Times New Roman" w:hAnsi="Times New Roman" w:cs="Times New Roman"/>
          <w:sz w:val="24"/>
          <w:szCs w:val="24"/>
        </w:rPr>
        <w:t>Het klopt dat het besluit om CT-documenten niet mee te nemen</w:t>
      </w:r>
      <w:r w:rsidRPr="0035791A" w:rsidR="00FB4D10">
        <w:rPr>
          <w:rFonts w:ascii="Times New Roman" w:hAnsi="Times New Roman" w:cs="Times New Roman"/>
          <w:sz w:val="24"/>
          <w:szCs w:val="24"/>
        </w:rPr>
        <w:t>,</w:t>
      </w:r>
      <w:r w:rsidRPr="0035791A">
        <w:rPr>
          <w:rFonts w:ascii="Times New Roman" w:hAnsi="Times New Roman" w:cs="Times New Roman"/>
          <w:sz w:val="24"/>
          <w:szCs w:val="24"/>
        </w:rPr>
        <w:t xml:space="preserve"> is genomen naar aanleiding van de consultatiereacties</w:t>
      </w:r>
      <w:r w:rsidRPr="0035791A" w:rsidR="00FB4D10">
        <w:rPr>
          <w:rFonts w:ascii="Times New Roman" w:hAnsi="Times New Roman" w:cs="Times New Roman"/>
          <w:sz w:val="24"/>
          <w:szCs w:val="24"/>
        </w:rPr>
        <w:t xml:space="preserve"> op de tweede (internet)consultatie. </w:t>
      </w:r>
      <w:r w:rsidRPr="0035791A" w:rsidR="00F80DA3">
        <w:rPr>
          <w:rFonts w:ascii="Times New Roman" w:hAnsi="Times New Roman" w:cs="Times New Roman"/>
          <w:sz w:val="24"/>
          <w:szCs w:val="24"/>
        </w:rPr>
        <w:t>Zo hebben</w:t>
      </w:r>
      <w:r w:rsidRPr="0035791A" w:rsidR="008402A6">
        <w:rPr>
          <w:rFonts w:ascii="Times New Roman" w:hAnsi="Times New Roman" w:cs="Times New Roman"/>
          <w:sz w:val="24"/>
          <w:szCs w:val="24"/>
        </w:rPr>
        <w:t xml:space="preserve"> onder andere</w:t>
      </w:r>
      <w:r w:rsidRPr="0035791A" w:rsidR="00F80DA3">
        <w:rPr>
          <w:rFonts w:ascii="Times New Roman" w:hAnsi="Times New Roman" w:cs="Times New Roman"/>
          <w:sz w:val="24"/>
          <w:szCs w:val="24"/>
        </w:rPr>
        <w:t xml:space="preserve"> de Rvdr, evofenedex, de Koninklijke Vereniging van Nederlandse Reders (KVNR) en de Dutch Blockchain Coalition vragen gesteld over de verhouding tussen het CT-document en andere vervoerdocumenten, zoals het binnenvaartcognossement. Naar aanleiding van deze vragen is, vanwege de samenloop tussen het CT-document en andere vervoersmodaliteiten, de afweging gemaakt om het CT-document voor nu niet mee te nemen. Wel is er een evaluatiebepaling toegevoegd, waardoor na drie jaar </w:t>
      </w:r>
      <w:r w:rsidRPr="0035791A" w:rsidR="002A5079">
        <w:rPr>
          <w:rFonts w:ascii="Times New Roman" w:hAnsi="Times New Roman" w:cs="Times New Roman"/>
          <w:sz w:val="24"/>
          <w:szCs w:val="24"/>
        </w:rPr>
        <w:t>wordt</w:t>
      </w:r>
      <w:r w:rsidRPr="0035791A" w:rsidR="00F80DA3">
        <w:rPr>
          <w:rFonts w:ascii="Times New Roman" w:hAnsi="Times New Roman" w:cs="Times New Roman"/>
          <w:sz w:val="24"/>
          <w:szCs w:val="24"/>
        </w:rPr>
        <w:t xml:space="preserve"> gekeken of</w:t>
      </w:r>
      <w:r w:rsidRPr="0035791A" w:rsidR="002A5079">
        <w:rPr>
          <w:rFonts w:ascii="Times New Roman" w:hAnsi="Times New Roman" w:cs="Times New Roman"/>
          <w:sz w:val="24"/>
          <w:szCs w:val="24"/>
        </w:rPr>
        <w:t xml:space="preserve"> het wenselijk is om</w:t>
      </w:r>
      <w:r w:rsidRPr="0035791A" w:rsidR="00F80DA3">
        <w:rPr>
          <w:rFonts w:ascii="Times New Roman" w:hAnsi="Times New Roman" w:cs="Times New Roman"/>
          <w:sz w:val="24"/>
          <w:szCs w:val="24"/>
        </w:rPr>
        <w:t xml:space="preserve"> de regeling uit</w:t>
      </w:r>
      <w:r w:rsidRPr="0035791A" w:rsidR="002A5079">
        <w:rPr>
          <w:rFonts w:ascii="Times New Roman" w:hAnsi="Times New Roman" w:cs="Times New Roman"/>
          <w:sz w:val="24"/>
          <w:szCs w:val="24"/>
        </w:rPr>
        <w:t xml:space="preserve"> te breiden met andere documenten, zoals</w:t>
      </w:r>
      <w:r w:rsidRPr="0035791A" w:rsidR="00F80DA3">
        <w:rPr>
          <w:rFonts w:ascii="Times New Roman" w:hAnsi="Times New Roman" w:cs="Times New Roman"/>
          <w:sz w:val="24"/>
          <w:szCs w:val="24"/>
        </w:rPr>
        <w:t xml:space="preserve"> het CT-document. Over het gewijzigde wetsvoorstel is daarna niet nog (voor de derde keer) geconsulteerd. Wel is het voorstel </w:t>
      </w:r>
      <w:r w:rsidRPr="0035791A" w:rsidR="001D1925">
        <w:rPr>
          <w:rFonts w:ascii="Times New Roman" w:hAnsi="Times New Roman" w:cs="Times New Roman"/>
          <w:sz w:val="24"/>
          <w:szCs w:val="24"/>
        </w:rPr>
        <w:t xml:space="preserve">vervolgens nog </w:t>
      </w:r>
      <w:r w:rsidRPr="0035791A" w:rsidR="00F80DA3">
        <w:rPr>
          <w:rFonts w:ascii="Times New Roman" w:hAnsi="Times New Roman" w:cs="Times New Roman"/>
          <w:sz w:val="24"/>
          <w:szCs w:val="24"/>
        </w:rPr>
        <w:t xml:space="preserve">informeel besproken met verschillende partijen, zoals de KVNR en evofenedex. </w:t>
      </w:r>
    </w:p>
    <w:p w:rsidRPr="0035791A" w:rsidR="0038119A" w:rsidP="006228E7" w:rsidRDefault="001267B4" w14:paraId="418D2875" w14:textId="67DE67DA">
      <w:pPr>
        <w:spacing w:after="0" w:line="360" w:lineRule="auto"/>
        <w:rPr>
          <w:rFonts w:ascii="Times New Roman" w:hAnsi="Times New Roman" w:cs="Times New Roman"/>
          <w:i/>
          <w:iCs/>
          <w:sz w:val="24"/>
          <w:szCs w:val="24"/>
        </w:rPr>
      </w:pPr>
      <w:r w:rsidRPr="0035791A">
        <w:rPr>
          <w:rFonts w:ascii="Times New Roman" w:hAnsi="Times New Roman" w:cs="Times New Roman"/>
          <w:bCs/>
          <w:sz w:val="24"/>
          <w:szCs w:val="24"/>
        </w:rPr>
        <w:t xml:space="preserve">Elk land kent zijn eigen stelsel en regels voor vervoerdocumenten. Zo kent België sinds 2023 een nieuw </w:t>
      </w:r>
      <w:r w:rsidRPr="0035791A" w:rsidR="00F74208">
        <w:rPr>
          <w:rFonts w:ascii="Times New Roman" w:hAnsi="Times New Roman" w:cs="Times New Roman"/>
          <w:bCs/>
          <w:sz w:val="24"/>
          <w:szCs w:val="24"/>
        </w:rPr>
        <w:t xml:space="preserve">Burgerlijk Wetboek en sinds 2019 een nieuw Scheepvaartwetboek. Het Belgische Scheepvaartwetboek kent geen specifieke regeling voor CT-documenten. Artikel 30 van Boek 5 van het Belgische Burgerlijk Wetboek </w:t>
      </w:r>
      <w:r w:rsidRPr="0035791A" w:rsidR="00B145D3">
        <w:rPr>
          <w:rFonts w:ascii="Times New Roman" w:hAnsi="Times New Roman" w:cs="Times New Roman"/>
          <w:bCs/>
          <w:sz w:val="24"/>
          <w:szCs w:val="24"/>
        </w:rPr>
        <w:t>kent wel een regeling inzake functionele gelijkwaardigheid van contracten die via elektronische weg tot stand zijn gekomen. Deze regeling bepaalt o.a. wanneer aan de vereisten van een geschrift is voldaan bij een elektronische variant.</w:t>
      </w:r>
      <w:r w:rsidRPr="0035791A" w:rsidR="001D1925">
        <w:rPr>
          <w:rFonts w:ascii="Times New Roman" w:hAnsi="Times New Roman" w:cs="Times New Roman"/>
          <w:bCs/>
          <w:sz w:val="24"/>
          <w:szCs w:val="24"/>
        </w:rPr>
        <w:t xml:space="preserve"> </w:t>
      </w:r>
      <w:r w:rsidRPr="0035791A" w:rsidR="00B145D3">
        <w:rPr>
          <w:rFonts w:ascii="Times New Roman" w:hAnsi="Times New Roman" w:cs="Times New Roman"/>
          <w:bCs/>
          <w:sz w:val="24"/>
          <w:szCs w:val="24"/>
        </w:rPr>
        <w:t>In Duitsland kent men</w:t>
      </w:r>
      <w:r w:rsidRPr="0035791A" w:rsidR="001D1925">
        <w:rPr>
          <w:rFonts w:ascii="Times New Roman" w:hAnsi="Times New Roman" w:cs="Times New Roman"/>
          <w:bCs/>
          <w:sz w:val="24"/>
          <w:szCs w:val="24"/>
        </w:rPr>
        <w:t>, net als in Nederland,</w:t>
      </w:r>
      <w:r w:rsidRPr="0035791A" w:rsidR="00B145D3">
        <w:rPr>
          <w:rFonts w:ascii="Times New Roman" w:hAnsi="Times New Roman" w:cs="Times New Roman"/>
          <w:bCs/>
          <w:sz w:val="24"/>
          <w:szCs w:val="24"/>
        </w:rPr>
        <w:t xml:space="preserve"> wel een wettelijk regime voor multimodaal vervoer (zie bijvoorbeeld artikel § 452 Handelsgesetzbuch), maar dit komt niet geheel overeen met dat van ons. Voor het Verenigd Koninkrijk geldt dat zij</w:t>
      </w:r>
      <w:r w:rsidRPr="0035791A" w:rsidR="00F30AEA">
        <w:rPr>
          <w:rFonts w:ascii="Times New Roman" w:hAnsi="Times New Roman" w:cs="Times New Roman"/>
          <w:bCs/>
          <w:sz w:val="24"/>
          <w:szCs w:val="24"/>
        </w:rPr>
        <w:t>, net als België,</w:t>
      </w:r>
      <w:r w:rsidRPr="0035791A" w:rsidR="00B145D3">
        <w:rPr>
          <w:rFonts w:ascii="Times New Roman" w:hAnsi="Times New Roman" w:cs="Times New Roman"/>
          <w:bCs/>
          <w:sz w:val="24"/>
          <w:szCs w:val="24"/>
        </w:rPr>
        <w:t xml:space="preserve"> geen gecodificeerd regime kennen voor CT-documenten. </w:t>
      </w:r>
      <w:r w:rsidRPr="0035791A" w:rsidR="001D1925">
        <w:rPr>
          <w:rFonts w:ascii="Times New Roman" w:hAnsi="Times New Roman" w:cs="Times New Roman"/>
          <w:bCs/>
          <w:sz w:val="24"/>
          <w:szCs w:val="24"/>
        </w:rPr>
        <w:t xml:space="preserve">Wel kennen zij de Electronic Trade Documents Act 2023. Deze wet regelt o.a. dat een papieren cognossement equivalent is aan een elektronisch cognossement. </w:t>
      </w:r>
      <w:r w:rsidRPr="0035791A" w:rsidR="00B145D3">
        <w:rPr>
          <w:rFonts w:ascii="Times New Roman" w:hAnsi="Times New Roman" w:cs="Times New Roman"/>
          <w:bCs/>
          <w:sz w:val="24"/>
          <w:szCs w:val="24"/>
        </w:rPr>
        <w:t xml:space="preserve">Al deze verschillende stelsels vloeien voort uit het feit dat er </w:t>
      </w:r>
      <w:r w:rsidRPr="0035791A" w:rsidR="001D1925">
        <w:rPr>
          <w:rFonts w:ascii="Times New Roman" w:hAnsi="Times New Roman" w:cs="Times New Roman"/>
          <w:bCs/>
          <w:sz w:val="24"/>
          <w:szCs w:val="24"/>
        </w:rPr>
        <w:t xml:space="preserve">(nog) </w:t>
      </w:r>
      <w:r w:rsidRPr="0035791A" w:rsidR="00B145D3">
        <w:rPr>
          <w:rFonts w:ascii="Times New Roman" w:hAnsi="Times New Roman" w:cs="Times New Roman"/>
          <w:bCs/>
          <w:sz w:val="24"/>
          <w:szCs w:val="24"/>
        </w:rPr>
        <w:t xml:space="preserve">geen geldend verdrag bestaat inzake multimodaal vervoer. Dit zorgt ervoor dat elk land eigen regels voor CT-documenten kent. </w:t>
      </w:r>
      <w:r w:rsidRPr="0035791A" w:rsidR="005A09DC">
        <w:rPr>
          <w:rFonts w:ascii="Times New Roman" w:hAnsi="Times New Roman" w:cs="Times New Roman"/>
          <w:bCs/>
          <w:sz w:val="24"/>
          <w:szCs w:val="24"/>
        </w:rPr>
        <w:t xml:space="preserve">Het is hierdoor niet mogelijk om te bepalen of er sprake is van benadeling nu Nederland nog geen regels kent voor </w:t>
      </w:r>
      <w:r w:rsidRPr="0035791A" w:rsidR="005A09DC">
        <w:rPr>
          <w:rFonts w:ascii="Times New Roman" w:hAnsi="Times New Roman" w:cs="Times New Roman"/>
          <w:bCs/>
          <w:sz w:val="24"/>
          <w:szCs w:val="24"/>
        </w:rPr>
        <w:lastRenderedPageBreak/>
        <w:t>elektronische CT-documenten. De keuze voor het recht van een bepaald land hangt namelijk af van het gehele stelsel. Ook wil ik erop wijzen dat het wetsvoorstel een evaluatiebepaling bevat op grond waarvan na drie jaar wordt bekeken of de regeling moet worden aangepast of moet worden uitgebreid, bijvoorbeeld naar CT-documenten. Uiteraard zal ik ook in de tussentijd</w:t>
      </w:r>
      <w:r w:rsidRPr="0035791A" w:rsidR="001B67FD">
        <w:rPr>
          <w:rFonts w:ascii="Times New Roman" w:hAnsi="Times New Roman" w:cs="Times New Roman"/>
          <w:bCs/>
          <w:sz w:val="24"/>
          <w:szCs w:val="24"/>
        </w:rPr>
        <w:t xml:space="preserve"> monitoren</w:t>
      </w:r>
      <w:r w:rsidRPr="0035791A" w:rsidR="00E44747">
        <w:rPr>
          <w:rFonts w:ascii="Times New Roman" w:hAnsi="Times New Roman" w:cs="Times New Roman"/>
          <w:bCs/>
          <w:sz w:val="24"/>
          <w:szCs w:val="24"/>
        </w:rPr>
        <w:t xml:space="preserve"> </w:t>
      </w:r>
      <w:r w:rsidRPr="0035791A" w:rsidR="005A09DC">
        <w:rPr>
          <w:rFonts w:ascii="Times New Roman" w:hAnsi="Times New Roman" w:cs="Times New Roman"/>
          <w:bCs/>
          <w:sz w:val="24"/>
          <w:szCs w:val="24"/>
        </w:rPr>
        <w:t>wat de gevolgen van het wetsvoorstel zijn.</w:t>
      </w:r>
      <w:r w:rsidRPr="0035791A" w:rsidR="00061143">
        <w:rPr>
          <w:rFonts w:ascii="Times New Roman" w:hAnsi="Times New Roman" w:cs="Times New Roman"/>
          <w:bCs/>
          <w:i/>
          <w:iCs/>
          <w:sz w:val="24"/>
          <w:szCs w:val="24"/>
        </w:rPr>
        <w:br/>
      </w:r>
      <w:r w:rsidRPr="0035791A" w:rsidR="00061143">
        <w:rPr>
          <w:rFonts w:ascii="Times New Roman" w:hAnsi="Times New Roman" w:cs="Times New Roman"/>
          <w:bCs/>
          <w:i/>
          <w:iCs/>
          <w:sz w:val="24"/>
          <w:szCs w:val="24"/>
        </w:rPr>
        <w:br/>
      </w:r>
      <w:r w:rsidRPr="0035791A" w:rsidR="00DD39F1">
        <w:rPr>
          <w:rFonts w:ascii="Times New Roman" w:hAnsi="Times New Roman" w:cs="Times New Roman"/>
          <w:i/>
          <w:iCs/>
          <w:sz w:val="24"/>
          <w:szCs w:val="24"/>
        </w:rPr>
        <w:t>De leden van de VVD-fractie vragen in hoeverre in de praktijk voldoende betrouwbare methodes reeds zijn ontwikkeld op basis waarvan de authenticiteit van elektronische cognossementen kan worden gewaarborgd. Is er voldoende aandacht voor het belang van informatiebeveiliging? Deelt de regering de mening van deze leden dat de overheid hier wel een voorlichtende taak heeft om partijen te wijzen op de bestaande mogelijkheden van informatiebeveiliging? Wie houdt er toezicht op de betrouwbaarheid van de gekozen methodes?</w:t>
      </w:r>
    </w:p>
    <w:p w:rsidRPr="0035791A" w:rsidR="00E44747" w:rsidP="001368B2" w:rsidRDefault="0038119A" w14:paraId="3E5F30C5" w14:textId="5A7082F5">
      <w:pPr>
        <w:spacing w:after="0" w:line="360" w:lineRule="auto"/>
        <w:rPr>
          <w:rFonts w:ascii="Times New Roman" w:hAnsi="Times New Roman" w:cs="Times New Roman"/>
          <w:bCs/>
          <w:sz w:val="24"/>
          <w:szCs w:val="24"/>
        </w:rPr>
      </w:pPr>
      <w:r w:rsidRPr="0035791A">
        <w:rPr>
          <w:rFonts w:ascii="Times New Roman" w:hAnsi="Times New Roman" w:cs="Times New Roman"/>
          <w:bCs/>
          <w:sz w:val="24"/>
          <w:szCs w:val="24"/>
        </w:rPr>
        <w:t xml:space="preserve">Er zijn vanuit de praktijk al verschillende initiatieven opgericht voor het gebruik van een elektronisch cognossement. Voorbeelden zijn o.a. Bolero (zie </w:t>
      </w:r>
      <w:r w:rsidRPr="0035791A" w:rsidR="00AA7746">
        <w:rPr>
          <w:rFonts w:ascii="Times New Roman" w:hAnsi="Times New Roman" w:cs="Times New Roman"/>
          <w:bCs/>
          <w:sz w:val="24"/>
          <w:szCs w:val="24"/>
        </w:rPr>
        <w:t>https://www.bolero.net</w:t>
      </w:r>
      <w:r w:rsidRPr="0035791A">
        <w:rPr>
          <w:rFonts w:ascii="Times New Roman" w:hAnsi="Times New Roman" w:cs="Times New Roman"/>
          <w:bCs/>
          <w:sz w:val="24"/>
          <w:szCs w:val="24"/>
        </w:rPr>
        <w:t>)</w:t>
      </w:r>
      <w:r w:rsidRPr="0035791A" w:rsidR="00AA7746">
        <w:rPr>
          <w:rFonts w:ascii="Times New Roman" w:hAnsi="Times New Roman" w:cs="Times New Roman"/>
          <w:bCs/>
          <w:sz w:val="24"/>
          <w:szCs w:val="24"/>
        </w:rPr>
        <w:t xml:space="preserve"> en</w:t>
      </w:r>
      <w:r w:rsidRPr="0035791A">
        <w:rPr>
          <w:rFonts w:ascii="Times New Roman" w:hAnsi="Times New Roman" w:cs="Times New Roman"/>
          <w:bCs/>
          <w:sz w:val="24"/>
          <w:szCs w:val="24"/>
        </w:rPr>
        <w:t xml:space="preserve"> ICE Digital Trade (zie </w:t>
      </w:r>
      <w:r w:rsidRPr="0035791A" w:rsidR="00E44747">
        <w:rPr>
          <w:rFonts w:ascii="Times New Roman" w:hAnsi="Times New Roman" w:cs="Times New Roman"/>
          <w:bCs/>
          <w:sz w:val="24"/>
          <w:szCs w:val="24"/>
        </w:rPr>
        <w:t>https://www.essdocs.com</w:t>
      </w:r>
      <w:r w:rsidRPr="0035791A">
        <w:rPr>
          <w:rFonts w:ascii="Times New Roman" w:hAnsi="Times New Roman" w:cs="Times New Roman"/>
          <w:bCs/>
          <w:sz w:val="24"/>
          <w:szCs w:val="24"/>
        </w:rPr>
        <w:t xml:space="preserve">). Het wetsvoorstel regelt dat er bij het gebruik van elektronische cognossementen gebruik moet worden gemaakt van een betrouwbare methode voor het waarborgen van de authenticiteit en de integriteit van het elektronisch bestand. Hieronder moet, volgens de toelichting, onder andere worden gedacht aan de </w:t>
      </w:r>
      <w:r w:rsidRPr="0035791A" w:rsidR="00CC2787">
        <w:rPr>
          <w:rFonts w:ascii="Times New Roman" w:hAnsi="Times New Roman" w:cs="Times New Roman"/>
          <w:bCs/>
          <w:sz w:val="24"/>
          <w:szCs w:val="24"/>
        </w:rPr>
        <w:t>regels die van belang zijn voor de beoordeling van de betrouwbaarheid, het voorkomen van ongeoorloofde toegang tot het systeem en de beveiliging van de hardware en software. Informatiebeveiliging is dus een belangrijk aspect bij het gebruik van een elektronisch cognossement. Het is aan partijen om te kiezen voor een systeem dat voldoet aan deze vereisten. Als niet aan de vereisten wordt voldaan, is er geen sprake van een elektronisch cognossement (en is het slechts een elektronisch bestand). Het wordt dus aan de praktijk overgelaten om betrouwbare methodes te ontwikkelen op basis waarvan de authenticiteit kan worden gewaarborgd, de zeggenschap kan worden vastgesteld en hoe ervoor kan worden gezorgd dat het elektronisch bestand zijn integriteit behoudt.</w:t>
      </w:r>
      <w:r w:rsidRPr="0035791A" w:rsidR="00E44747">
        <w:rPr>
          <w:rFonts w:ascii="Times New Roman" w:hAnsi="Times New Roman" w:cs="Times New Roman"/>
          <w:bCs/>
          <w:sz w:val="24"/>
          <w:szCs w:val="24"/>
        </w:rPr>
        <w:t xml:space="preserve"> In de praktijk </w:t>
      </w:r>
      <w:r w:rsidRPr="0035791A" w:rsidR="00BE3D98">
        <w:rPr>
          <w:rFonts w:ascii="Times New Roman" w:hAnsi="Times New Roman" w:cs="Times New Roman"/>
          <w:bCs/>
          <w:sz w:val="24"/>
          <w:szCs w:val="24"/>
        </w:rPr>
        <w:t xml:space="preserve">wordt er toezicht gehouden op de vereisten door bijvoorbeeld </w:t>
      </w:r>
      <w:r w:rsidRPr="0035791A" w:rsidR="00E44747">
        <w:rPr>
          <w:rFonts w:ascii="Times New Roman" w:hAnsi="Times New Roman" w:cs="Times New Roman"/>
          <w:bCs/>
          <w:sz w:val="24"/>
          <w:szCs w:val="24"/>
        </w:rPr>
        <w:t>The International Group of Protection and Indemnity clubs (IGP&amp;I)</w:t>
      </w:r>
      <w:r w:rsidRPr="0035791A" w:rsidR="00BE3D98">
        <w:rPr>
          <w:rFonts w:ascii="Times New Roman" w:hAnsi="Times New Roman" w:cs="Times New Roman"/>
          <w:bCs/>
          <w:sz w:val="24"/>
          <w:szCs w:val="24"/>
        </w:rPr>
        <w:t xml:space="preserve">. </w:t>
      </w:r>
      <w:r w:rsidRPr="0035791A" w:rsidR="00E44747">
        <w:rPr>
          <w:rFonts w:ascii="Times New Roman" w:hAnsi="Times New Roman" w:cs="Times New Roman"/>
          <w:bCs/>
          <w:sz w:val="24"/>
          <w:szCs w:val="24"/>
        </w:rPr>
        <w:t xml:space="preserve">De IGP&amp;I bestaat, kortgezegd, uit </w:t>
      </w:r>
      <w:r w:rsidRPr="0035791A" w:rsidR="00766C81">
        <w:rPr>
          <w:rFonts w:ascii="Times New Roman" w:hAnsi="Times New Roman" w:cs="Times New Roman"/>
          <w:bCs/>
          <w:sz w:val="24"/>
          <w:szCs w:val="24"/>
        </w:rPr>
        <w:t xml:space="preserve">onderlinge </w:t>
      </w:r>
      <w:r w:rsidRPr="0035791A" w:rsidR="00E44747">
        <w:rPr>
          <w:rFonts w:ascii="Times New Roman" w:hAnsi="Times New Roman" w:cs="Times New Roman"/>
          <w:bCs/>
          <w:sz w:val="24"/>
          <w:szCs w:val="24"/>
        </w:rPr>
        <w:t>verzekeraars die de aansprakelijkheid die voortvloeit uit het vervoer van goederen dekken. Zij he</w:t>
      </w:r>
      <w:r w:rsidRPr="0035791A" w:rsidR="00766C81">
        <w:rPr>
          <w:rFonts w:ascii="Times New Roman" w:hAnsi="Times New Roman" w:cs="Times New Roman"/>
          <w:bCs/>
          <w:sz w:val="24"/>
          <w:szCs w:val="24"/>
        </w:rPr>
        <w:t>eft</w:t>
      </w:r>
      <w:r w:rsidRPr="0035791A" w:rsidR="00E44747">
        <w:rPr>
          <w:rFonts w:ascii="Times New Roman" w:hAnsi="Times New Roman" w:cs="Times New Roman"/>
          <w:bCs/>
          <w:sz w:val="24"/>
          <w:szCs w:val="24"/>
        </w:rPr>
        <w:t xml:space="preserve"> voorwaarden opgesteld </w:t>
      </w:r>
      <w:r w:rsidRPr="0035791A" w:rsidR="00BE3D98">
        <w:rPr>
          <w:rFonts w:ascii="Times New Roman" w:hAnsi="Times New Roman" w:cs="Times New Roman"/>
          <w:bCs/>
          <w:sz w:val="24"/>
          <w:szCs w:val="24"/>
        </w:rPr>
        <w:t xml:space="preserve">voor het gebruik van elektronische cognossementen </w:t>
      </w:r>
      <w:r w:rsidRPr="0035791A" w:rsidR="00E44747">
        <w:rPr>
          <w:rFonts w:ascii="Times New Roman" w:hAnsi="Times New Roman" w:cs="Times New Roman"/>
          <w:bCs/>
          <w:sz w:val="24"/>
          <w:szCs w:val="24"/>
        </w:rPr>
        <w:t>en he</w:t>
      </w:r>
      <w:r w:rsidRPr="0035791A" w:rsidR="00766C81">
        <w:rPr>
          <w:rFonts w:ascii="Times New Roman" w:hAnsi="Times New Roman" w:cs="Times New Roman"/>
          <w:bCs/>
          <w:sz w:val="24"/>
          <w:szCs w:val="24"/>
        </w:rPr>
        <w:t>eft</w:t>
      </w:r>
      <w:r w:rsidRPr="0035791A" w:rsidR="00E44747">
        <w:rPr>
          <w:rFonts w:ascii="Times New Roman" w:hAnsi="Times New Roman" w:cs="Times New Roman"/>
          <w:bCs/>
          <w:sz w:val="24"/>
          <w:szCs w:val="24"/>
        </w:rPr>
        <w:t xml:space="preserve"> een lijst </w:t>
      </w:r>
      <w:r w:rsidRPr="0035791A" w:rsidR="00766C81">
        <w:rPr>
          <w:rFonts w:ascii="Times New Roman" w:hAnsi="Times New Roman" w:cs="Times New Roman"/>
          <w:bCs/>
          <w:sz w:val="24"/>
          <w:szCs w:val="24"/>
        </w:rPr>
        <w:t xml:space="preserve">opgesteld </w:t>
      </w:r>
      <w:r w:rsidRPr="0035791A" w:rsidR="00E44747">
        <w:rPr>
          <w:rFonts w:ascii="Times New Roman" w:hAnsi="Times New Roman" w:cs="Times New Roman"/>
          <w:bCs/>
          <w:sz w:val="24"/>
          <w:szCs w:val="24"/>
        </w:rPr>
        <w:t xml:space="preserve">met </w:t>
      </w:r>
      <w:r w:rsidRPr="0035791A" w:rsidR="00E44747">
        <w:rPr>
          <w:rFonts w:ascii="Times New Roman" w:hAnsi="Times New Roman" w:cs="Times New Roman"/>
          <w:bCs/>
          <w:sz w:val="24"/>
          <w:szCs w:val="24"/>
        </w:rPr>
        <w:lastRenderedPageBreak/>
        <w:t>systemen die aan de voorwaarden voldoen</w:t>
      </w:r>
      <w:r w:rsidRPr="0035791A" w:rsidR="00E44747">
        <w:rPr>
          <w:rStyle w:val="Voetnootmarkering"/>
          <w:rFonts w:ascii="Times New Roman" w:hAnsi="Times New Roman" w:cs="Times New Roman"/>
          <w:bCs/>
          <w:sz w:val="24"/>
          <w:szCs w:val="24"/>
        </w:rPr>
        <w:footnoteReference w:id="1"/>
      </w:r>
      <w:r w:rsidRPr="0035791A" w:rsidR="00E44747">
        <w:rPr>
          <w:rFonts w:ascii="Times New Roman" w:hAnsi="Times New Roman" w:cs="Times New Roman"/>
          <w:bCs/>
          <w:sz w:val="24"/>
          <w:szCs w:val="24"/>
        </w:rPr>
        <w:t>.</w:t>
      </w:r>
      <w:r w:rsidRPr="0035791A" w:rsidR="009F16EB">
        <w:rPr>
          <w:rFonts w:ascii="Times New Roman" w:hAnsi="Times New Roman" w:cs="Times New Roman"/>
          <w:bCs/>
          <w:sz w:val="24"/>
          <w:szCs w:val="24"/>
        </w:rPr>
        <w:t xml:space="preserve"> Ook voor verzekeraars is de betrouwbaarheid dus een belangrijke voorwaarde voor het gebruik van elektronische cognossementen.</w:t>
      </w:r>
    </w:p>
    <w:p w:rsidRPr="0035791A" w:rsidR="002A5079" w:rsidP="0035791A" w:rsidRDefault="003A3FA8" w14:paraId="2D528CF6" w14:textId="4BC5926F">
      <w:pPr>
        <w:spacing w:after="0" w:line="360" w:lineRule="auto"/>
        <w:rPr>
          <w:rFonts w:ascii="Times New Roman" w:hAnsi="Times New Roman" w:cs="Times New Roman"/>
          <w:bCs/>
          <w:sz w:val="24"/>
          <w:szCs w:val="24"/>
        </w:rPr>
      </w:pPr>
      <w:r w:rsidRPr="0035791A">
        <w:rPr>
          <w:rFonts w:ascii="Times New Roman" w:hAnsi="Times New Roman" w:cs="Times New Roman"/>
          <w:bCs/>
          <w:sz w:val="24"/>
          <w:szCs w:val="24"/>
        </w:rPr>
        <w:t xml:space="preserve">Met betrekking tot de vraag over de voorlichtende taak van de overheid op het gebied van informatiebeveiliging </w:t>
      </w:r>
      <w:r w:rsidRPr="0035791A" w:rsidR="002A5079">
        <w:rPr>
          <w:rFonts w:ascii="Times New Roman" w:hAnsi="Times New Roman" w:cs="Times New Roman"/>
          <w:bCs/>
          <w:sz w:val="24"/>
          <w:szCs w:val="24"/>
        </w:rPr>
        <w:t xml:space="preserve">verwijs ik graag </w:t>
      </w:r>
      <w:r w:rsidRPr="0035791A">
        <w:rPr>
          <w:rFonts w:ascii="Times New Roman" w:hAnsi="Times New Roman" w:cs="Times New Roman"/>
          <w:bCs/>
          <w:sz w:val="24"/>
          <w:szCs w:val="24"/>
        </w:rPr>
        <w:t>naar de website https://veiliginternetten.nl/. Dit is een gezamenlijk initiatief van het ministerie van Economische Zaken, het ministerie van Justitie en Veiligheid/Nationaal Cyber Security Centrum</w:t>
      </w:r>
      <w:r w:rsidRPr="0035791A" w:rsidR="002A5079">
        <w:rPr>
          <w:rFonts w:ascii="Times New Roman" w:hAnsi="Times New Roman" w:cs="Times New Roman"/>
          <w:bCs/>
          <w:sz w:val="24"/>
          <w:szCs w:val="24"/>
        </w:rPr>
        <w:t>,</w:t>
      </w:r>
      <w:r w:rsidRPr="0035791A">
        <w:rPr>
          <w:rFonts w:ascii="Times New Roman" w:hAnsi="Times New Roman" w:cs="Times New Roman"/>
          <w:bCs/>
          <w:sz w:val="24"/>
          <w:szCs w:val="24"/>
        </w:rPr>
        <w:t xml:space="preserve"> ECP | Platform voor de InformatieSamenleving en het bedrijfsleven.</w:t>
      </w:r>
      <w:r w:rsidRPr="0035791A" w:rsidR="002A5079">
        <w:rPr>
          <w:rFonts w:ascii="Times New Roman" w:hAnsi="Times New Roman" w:cs="Times New Roman"/>
          <w:bCs/>
          <w:sz w:val="24"/>
          <w:szCs w:val="24"/>
        </w:rPr>
        <w:t xml:space="preserve"> </w:t>
      </w:r>
      <w:r w:rsidRPr="0035791A">
        <w:rPr>
          <w:rFonts w:ascii="Times New Roman" w:hAnsi="Times New Roman" w:cs="Times New Roman"/>
          <w:bCs/>
          <w:sz w:val="24"/>
          <w:szCs w:val="24"/>
        </w:rPr>
        <w:t xml:space="preserve">De website biedt informatie aan burgers en MKB om hen te helpen veilig online te zijn. </w:t>
      </w:r>
    </w:p>
    <w:p w:rsidRPr="0035791A" w:rsidR="00123F7C" w:rsidP="00CC2787" w:rsidRDefault="00061143" w14:paraId="2D103083" w14:textId="3D0F185D">
      <w:pPr>
        <w:spacing w:after="0" w:line="360" w:lineRule="auto"/>
        <w:rPr>
          <w:rFonts w:ascii="Times New Roman" w:hAnsi="Times New Roman" w:cs="Times New Roman"/>
          <w:bCs/>
          <w:sz w:val="24"/>
          <w:szCs w:val="24"/>
        </w:rPr>
      </w:pPr>
      <w:r w:rsidRPr="0035791A">
        <w:rPr>
          <w:rFonts w:ascii="Times New Roman" w:hAnsi="Times New Roman" w:cs="Times New Roman"/>
          <w:bCs/>
          <w:i/>
          <w:iCs/>
          <w:sz w:val="24"/>
          <w:szCs w:val="24"/>
        </w:rPr>
        <w:br/>
      </w:r>
      <w:r w:rsidRPr="0035791A" w:rsidR="00DD39F1">
        <w:rPr>
          <w:rFonts w:ascii="Times New Roman" w:hAnsi="Times New Roman" w:cs="Times New Roman"/>
          <w:i/>
          <w:iCs/>
          <w:sz w:val="24"/>
          <w:szCs w:val="24"/>
        </w:rPr>
        <w:t xml:space="preserve">De leden van de VVD-fractie vragen voorts een inschatting van de regering van het aantal elektronische cognossementen dat op dit moment al wordt afgegeven. </w:t>
      </w:r>
      <w:r w:rsidRPr="0035791A">
        <w:rPr>
          <w:rFonts w:ascii="Times New Roman" w:hAnsi="Times New Roman" w:cs="Times New Roman"/>
          <w:b/>
          <w:i/>
          <w:iCs/>
          <w:sz w:val="24"/>
          <w:szCs w:val="24"/>
        </w:rPr>
        <w:br/>
      </w:r>
      <w:r w:rsidRPr="0035791A" w:rsidR="0050357B">
        <w:rPr>
          <w:rFonts w:ascii="Times New Roman" w:hAnsi="Times New Roman" w:cs="Times New Roman"/>
          <w:bCs/>
          <w:sz w:val="24"/>
          <w:szCs w:val="24"/>
        </w:rPr>
        <w:t xml:space="preserve">In Nederland worden op dit moment geen elektronische cognossementen afgegeven, omdat er nog geen wettelijke regeling is. </w:t>
      </w:r>
      <w:r w:rsidRPr="0035791A" w:rsidR="006A1BB6">
        <w:rPr>
          <w:rFonts w:ascii="Times New Roman" w:hAnsi="Times New Roman" w:cs="Times New Roman"/>
          <w:bCs/>
          <w:sz w:val="24"/>
          <w:szCs w:val="24"/>
        </w:rPr>
        <w:t xml:space="preserve">Van de </w:t>
      </w:r>
      <w:r w:rsidRPr="0035791A" w:rsidR="00766C81">
        <w:rPr>
          <w:rFonts w:ascii="Times New Roman" w:hAnsi="Times New Roman" w:cs="Times New Roman"/>
          <w:bCs/>
          <w:sz w:val="24"/>
          <w:szCs w:val="24"/>
        </w:rPr>
        <w:t>Digital Container Shipping Association (DSCA)</w:t>
      </w:r>
      <w:r w:rsidRPr="0035791A" w:rsidR="006A1BB6">
        <w:rPr>
          <w:rFonts w:ascii="Times New Roman" w:hAnsi="Times New Roman" w:cs="Times New Roman"/>
          <w:sz w:val="24"/>
          <w:szCs w:val="24"/>
        </w:rPr>
        <w:t xml:space="preserve"> heb ik c</w:t>
      </w:r>
      <w:r w:rsidRPr="0035791A" w:rsidR="006A1BB6">
        <w:rPr>
          <w:rFonts w:ascii="Times New Roman" w:hAnsi="Times New Roman" w:cs="Times New Roman"/>
          <w:bCs/>
          <w:sz w:val="24"/>
          <w:szCs w:val="24"/>
        </w:rPr>
        <w:t>ijfers over het gebruik van elektronische cognossementen ontvangen</w:t>
      </w:r>
      <w:r w:rsidRPr="0035791A" w:rsidR="00123F7C">
        <w:rPr>
          <w:rFonts w:ascii="Times New Roman" w:hAnsi="Times New Roman" w:cs="Times New Roman"/>
          <w:bCs/>
          <w:sz w:val="24"/>
          <w:szCs w:val="24"/>
        </w:rPr>
        <w:t>.</w:t>
      </w:r>
      <w:r w:rsidRPr="0035791A" w:rsidR="00F92D01">
        <w:rPr>
          <w:rFonts w:ascii="Times New Roman" w:hAnsi="Times New Roman" w:cs="Times New Roman"/>
          <w:bCs/>
          <w:sz w:val="24"/>
          <w:szCs w:val="24"/>
        </w:rPr>
        <w:t xml:space="preserve"> De DSCA vertegenwoordigt 77% van het wereldwijde containervervoer en van het totale vervoer is ongeveer 70% containervervoer. De cijfers vertegenwoordigen dus 54 % van alle cognossementen wereldwijd.</w:t>
      </w:r>
      <w:r w:rsidRPr="0035791A" w:rsidR="006A1BB6">
        <w:rPr>
          <w:rFonts w:ascii="Times New Roman" w:hAnsi="Times New Roman" w:cs="Times New Roman"/>
          <w:bCs/>
          <w:sz w:val="24"/>
          <w:szCs w:val="24"/>
        </w:rPr>
        <w:t xml:space="preserve"> </w:t>
      </w:r>
      <w:r w:rsidRPr="0035791A" w:rsidR="00F92D01">
        <w:rPr>
          <w:rFonts w:ascii="Times New Roman" w:hAnsi="Times New Roman" w:cs="Times New Roman"/>
          <w:bCs/>
          <w:sz w:val="24"/>
          <w:szCs w:val="24"/>
        </w:rPr>
        <w:t xml:space="preserve">Cijfers van de DCSA laten zien dat het gebruik van elektronische cognossementen sinds 2020 per jaar stijgt. Van de totale hoeveelheid cognossementen in 2022 was een percentage van 2,7% daarvan een elektronisch cognossement. In 2024 is dat percentage gestegen naar 5%. </w:t>
      </w:r>
      <w:r w:rsidRPr="0035791A" w:rsidR="00E02D63">
        <w:rPr>
          <w:rFonts w:ascii="Times New Roman" w:hAnsi="Times New Roman" w:cs="Times New Roman"/>
          <w:bCs/>
          <w:sz w:val="24"/>
          <w:szCs w:val="24"/>
        </w:rPr>
        <w:t xml:space="preserve">Uit </w:t>
      </w:r>
      <w:r w:rsidRPr="0035791A" w:rsidR="00F92D01">
        <w:rPr>
          <w:rFonts w:ascii="Times New Roman" w:hAnsi="Times New Roman" w:cs="Times New Roman"/>
          <w:bCs/>
          <w:sz w:val="24"/>
          <w:szCs w:val="24"/>
        </w:rPr>
        <w:t xml:space="preserve">de cijfers over 2025 (gemeten t/m mei) </w:t>
      </w:r>
      <w:r w:rsidRPr="0035791A" w:rsidR="00E02D63">
        <w:rPr>
          <w:rFonts w:ascii="Times New Roman" w:hAnsi="Times New Roman" w:cs="Times New Roman"/>
          <w:bCs/>
          <w:sz w:val="24"/>
          <w:szCs w:val="24"/>
        </w:rPr>
        <w:t xml:space="preserve">blijkt dat </w:t>
      </w:r>
      <w:r w:rsidRPr="0035791A" w:rsidR="00F92D01">
        <w:rPr>
          <w:rFonts w:ascii="Times New Roman" w:hAnsi="Times New Roman" w:cs="Times New Roman"/>
          <w:bCs/>
          <w:sz w:val="24"/>
          <w:szCs w:val="24"/>
        </w:rPr>
        <w:t xml:space="preserve">er 5.773.200 cognossementen </w:t>
      </w:r>
      <w:r w:rsidRPr="0035791A" w:rsidR="00E02D63">
        <w:rPr>
          <w:rFonts w:ascii="Times New Roman" w:hAnsi="Times New Roman" w:cs="Times New Roman"/>
          <w:bCs/>
          <w:sz w:val="24"/>
          <w:szCs w:val="24"/>
        </w:rPr>
        <w:t xml:space="preserve">zijn </w:t>
      </w:r>
      <w:r w:rsidRPr="0035791A" w:rsidR="00F92D01">
        <w:rPr>
          <w:rFonts w:ascii="Times New Roman" w:hAnsi="Times New Roman" w:cs="Times New Roman"/>
          <w:bCs/>
          <w:sz w:val="24"/>
          <w:szCs w:val="24"/>
        </w:rPr>
        <w:t xml:space="preserve">afgegeven, waarvan </w:t>
      </w:r>
      <w:r w:rsidRPr="0035791A" w:rsidR="002E241F">
        <w:rPr>
          <w:rFonts w:ascii="Times New Roman" w:hAnsi="Times New Roman" w:cs="Times New Roman"/>
          <w:bCs/>
          <w:sz w:val="24"/>
          <w:szCs w:val="24"/>
        </w:rPr>
        <w:t>er</w:t>
      </w:r>
      <w:r w:rsidRPr="0035791A" w:rsidR="00F92D01">
        <w:rPr>
          <w:rFonts w:ascii="Times New Roman" w:hAnsi="Times New Roman" w:cs="Times New Roman"/>
          <w:bCs/>
          <w:sz w:val="24"/>
          <w:szCs w:val="24"/>
        </w:rPr>
        <w:t xml:space="preserve"> 657.885 elektronisch waren. Daarmee is het percentage elektronische cognossementen gestegen naar 11,4%</w:t>
      </w:r>
      <w:r w:rsidRPr="0035791A" w:rsidR="002E241F">
        <w:rPr>
          <w:rFonts w:ascii="Times New Roman" w:hAnsi="Times New Roman" w:cs="Times New Roman"/>
          <w:bCs/>
          <w:sz w:val="24"/>
          <w:szCs w:val="24"/>
        </w:rPr>
        <w:t xml:space="preserve"> en binnen een jaar meer dan verdubbeld</w:t>
      </w:r>
      <w:r w:rsidRPr="0035791A" w:rsidR="00F92D01">
        <w:rPr>
          <w:rFonts w:ascii="Times New Roman" w:hAnsi="Times New Roman" w:cs="Times New Roman"/>
          <w:bCs/>
          <w:sz w:val="24"/>
          <w:szCs w:val="24"/>
        </w:rPr>
        <w:t xml:space="preserve">. </w:t>
      </w:r>
      <w:r w:rsidRPr="0035791A" w:rsidR="002E241F">
        <w:rPr>
          <w:rFonts w:ascii="Times New Roman" w:hAnsi="Times New Roman" w:cs="Times New Roman"/>
          <w:bCs/>
          <w:sz w:val="24"/>
          <w:szCs w:val="24"/>
        </w:rPr>
        <w:t xml:space="preserve">Er wordt meer gebruik gemaakt </w:t>
      </w:r>
      <w:r w:rsidRPr="0035791A" w:rsidR="006A1BB6">
        <w:rPr>
          <w:rFonts w:ascii="Times New Roman" w:hAnsi="Times New Roman" w:cs="Times New Roman"/>
          <w:bCs/>
          <w:sz w:val="24"/>
          <w:szCs w:val="24"/>
        </w:rPr>
        <w:t xml:space="preserve">van elektronische cognossementen, </w:t>
      </w:r>
      <w:r w:rsidRPr="0035791A" w:rsidR="002E241F">
        <w:rPr>
          <w:rFonts w:ascii="Times New Roman" w:hAnsi="Times New Roman" w:cs="Times New Roman"/>
          <w:bCs/>
          <w:sz w:val="24"/>
          <w:szCs w:val="24"/>
        </w:rPr>
        <w:t>omdat er</w:t>
      </w:r>
      <w:r w:rsidRPr="0035791A" w:rsidR="00F92D01">
        <w:rPr>
          <w:rFonts w:ascii="Times New Roman" w:hAnsi="Times New Roman" w:cs="Times New Roman"/>
          <w:bCs/>
          <w:sz w:val="24"/>
          <w:szCs w:val="24"/>
        </w:rPr>
        <w:t xml:space="preserve"> betrouwbare</w:t>
      </w:r>
      <w:r w:rsidRPr="0035791A" w:rsidR="002E241F">
        <w:rPr>
          <w:rFonts w:ascii="Times New Roman" w:hAnsi="Times New Roman" w:cs="Times New Roman"/>
          <w:bCs/>
          <w:sz w:val="24"/>
          <w:szCs w:val="24"/>
        </w:rPr>
        <w:t xml:space="preserve"> IT</w:t>
      </w:r>
      <w:r w:rsidRPr="0035791A" w:rsidR="006A1BB6">
        <w:rPr>
          <w:rFonts w:ascii="Times New Roman" w:hAnsi="Times New Roman" w:cs="Times New Roman"/>
          <w:bCs/>
          <w:sz w:val="24"/>
          <w:szCs w:val="24"/>
        </w:rPr>
        <w:t>-</w:t>
      </w:r>
      <w:r w:rsidRPr="0035791A" w:rsidR="002E241F">
        <w:rPr>
          <w:rFonts w:ascii="Times New Roman" w:hAnsi="Times New Roman" w:cs="Times New Roman"/>
          <w:bCs/>
          <w:sz w:val="24"/>
          <w:szCs w:val="24"/>
        </w:rPr>
        <w:t xml:space="preserve">toepassingen en standaarden beschikbaar zijn gekomen, maar ook omdat nationale wetgeving in meer lidstaten het gebruik van elektronische </w:t>
      </w:r>
      <w:r w:rsidRPr="0035791A" w:rsidR="006A1BB6">
        <w:rPr>
          <w:rFonts w:ascii="Times New Roman" w:hAnsi="Times New Roman" w:cs="Times New Roman"/>
          <w:bCs/>
          <w:sz w:val="24"/>
          <w:szCs w:val="24"/>
        </w:rPr>
        <w:t>cognossementen</w:t>
      </w:r>
      <w:r w:rsidRPr="0035791A" w:rsidR="002E241F">
        <w:rPr>
          <w:rFonts w:ascii="Times New Roman" w:hAnsi="Times New Roman" w:cs="Times New Roman"/>
          <w:bCs/>
          <w:sz w:val="24"/>
          <w:szCs w:val="24"/>
        </w:rPr>
        <w:t xml:space="preserve"> toestaan. Dit benadrukt het belang van een regeling voor elektronische cognossementen, waardoor ook in Nederland gebruik kan worden gemaakt van elektronische cognossementen.</w:t>
      </w:r>
    </w:p>
    <w:p w:rsidRPr="0035791A" w:rsidR="00F92D01" w:rsidP="00CC2787" w:rsidRDefault="00F92D01" w14:paraId="30216858" w14:textId="77777777">
      <w:pPr>
        <w:spacing w:after="0" w:line="360" w:lineRule="auto"/>
        <w:rPr>
          <w:rFonts w:ascii="Times New Roman" w:hAnsi="Times New Roman" w:cs="Times New Roman"/>
          <w:bCs/>
          <w:sz w:val="24"/>
          <w:szCs w:val="24"/>
        </w:rPr>
      </w:pPr>
    </w:p>
    <w:p w:rsidRPr="0035791A" w:rsidR="001368B2" w:rsidP="00AA632D" w:rsidRDefault="00766C81" w14:paraId="4842574F" w14:textId="00DE8683">
      <w:pPr>
        <w:spacing w:after="0" w:line="360" w:lineRule="auto"/>
        <w:rPr>
          <w:rFonts w:ascii="Times New Roman" w:hAnsi="Times New Roman" w:cs="Times New Roman"/>
          <w:bCs/>
          <w:sz w:val="24"/>
          <w:szCs w:val="24"/>
        </w:rPr>
      </w:pPr>
      <w:r w:rsidRPr="0035791A">
        <w:rPr>
          <w:rFonts w:ascii="Times New Roman" w:hAnsi="Times New Roman" w:cs="Times New Roman"/>
          <w:bCs/>
          <w:sz w:val="24"/>
          <w:szCs w:val="24"/>
        </w:rPr>
        <w:t xml:space="preserve"> </w:t>
      </w:r>
      <w:r w:rsidRPr="0035791A" w:rsidR="00317098">
        <w:rPr>
          <w:rFonts w:ascii="Times New Roman" w:hAnsi="Times New Roman" w:cs="Times New Roman"/>
          <w:b/>
          <w:bCs/>
          <w:sz w:val="24"/>
          <w:szCs w:val="24"/>
        </w:rPr>
        <w:t>3. De verhouding met andere regelgeving</w:t>
      </w:r>
      <w:r w:rsidRPr="0035791A" w:rsidR="00061143">
        <w:rPr>
          <w:rFonts w:ascii="Times New Roman" w:hAnsi="Times New Roman" w:cs="Times New Roman"/>
          <w:b/>
          <w:bCs/>
          <w:sz w:val="24"/>
          <w:szCs w:val="24"/>
        </w:rPr>
        <w:br/>
      </w:r>
      <w:r w:rsidRPr="0035791A" w:rsidR="00061143">
        <w:rPr>
          <w:rFonts w:ascii="Times New Roman" w:hAnsi="Times New Roman" w:cs="Times New Roman"/>
          <w:b/>
          <w:bCs/>
          <w:sz w:val="24"/>
          <w:szCs w:val="24"/>
        </w:rPr>
        <w:br/>
      </w:r>
      <w:r w:rsidRPr="0035791A" w:rsidR="00317098">
        <w:rPr>
          <w:rFonts w:ascii="Times New Roman" w:hAnsi="Times New Roman" w:cs="Times New Roman"/>
          <w:bCs/>
          <w:i/>
          <w:iCs/>
          <w:sz w:val="24"/>
          <w:szCs w:val="24"/>
        </w:rPr>
        <w:t xml:space="preserve">3.1 Aansluiting bij de </w:t>
      </w:r>
      <w:r w:rsidRPr="0035791A" w:rsidR="00540E5B">
        <w:rPr>
          <w:rFonts w:ascii="Times New Roman" w:hAnsi="Times New Roman" w:cs="Times New Roman"/>
          <w:bCs/>
          <w:i/>
          <w:iCs/>
          <w:sz w:val="24"/>
          <w:szCs w:val="24"/>
        </w:rPr>
        <w:t xml:space="preserve">Model Law on Electronic Transferable Records (hierna: </w:t>
      </w:r>
      <w:r w:rsidRPr="0035791A" w:rsidR="00317098">
        <w:rPr>
          <w:rFonts w:ascii="Times New Roman" w:hAnsi="Times New Roman" w:cs="Times New Roman"/>
          <w:bCs/>
          <w:i/>
          <w:iCs/>
          <w:sz w:val="24"/>
          <w:szCs w:val="24"/>
        </w:rPr>
        <w:t>MLETR</w:t>
      </w:r>
      <w:r w:rsidRPr="0035791A" w:rsidR="00540E5B">
        <w:rPr>
          <w:rFonts w:ascii="Times New Roman" w:hAnsi="Times New Roman" w:cs="Times New Roman"/>
          <w:bCs/>
          <w:i/>
          <w:iCs/>
          <w:sz w:val="24"/>
          <w:szCs w:val="24"/>
        </w:rPr>
        <w:t>)</w:t>
      </w:r>
      <w:r w:rsidRPr="0035791A" w:rsidR="00317098">
        <w:rPr>
          <w:rFonts w:ascii="Times New Roman" w:hAnsi="Times New Roman" w:cs="Times New Roman"/>
          <w:bCs/>
          <w:i/>
          <w:iCs/>
          <w:sz w:val="24"/>
          <w:szCs w:val="24"/>
        </w:rPr>
        <w:t xml:space="preserve"> en de Rotterdam Rules</w:t>
      </w:r>
      <w:r w:rsidRPr="0035791A" w:rsidR="00061143">
        <w:rPr>
          <w:rFonts w:ascii="Times New Roman" w:hAnsi="Times New Roman" w:cs="Times New Roman"/>
          <w:bCs/>
          <w:i/>
          <w:iCs/>
          <w:sz w:val="24"/>
          <w:szCs w:val="24"/>
        </w:rPr>
        <w:br/>
      </w:r>
      <w:r w:rsidRPr="0035791A" w:rsidR="00061143">
        <w:rPr>
          <w:rFonts w:ascii="Times New Roman" w:hAnsi="Times New Roman" w:cs="Times New Roman"/>
          <w:bCs/>
          <w:i/>
          <w:iCs/>
          <w:sz w:val="24"/>
          <w:szCs w:val="24"/>
        </w:rPr>
        <w:lastRenderedPageBreak/>
        <w:br/>
      </w:r>
      <w:r w:rsidRPr="0035791A" w:rsidR="00DD39F1">
        <w:rPr>
          <w:rFonts w:ascii="Times New Roman" w:hAnsi="Times New Roman" w:cs="Times New Roman"/>
          <w:i/>
          <w:iCs/>
          <w:sz w:val="24"/>
          <w:szCs w:val="24"/>
        </w:rPr>
        <w:t>De leden van de VVD-fractie constateren dat de Uitvoeringswet Rotterdam Rules –</w:t>
      </w:r>
      <w:r w:rsidRPr="0035791A" w:rsidR="00CA47D5">
        <w:rPr>
          <w:rFonts w:ascii="Times New Roman" w:hAnsi="Times New Roman" w:cs="Times New Roman"/>
          <w:i/>
          <w:iCs/>
          <w:sz w:val="24"/>
          <w:szCs w:val="24"/>
        </w:rPr>
        <w:t xml:space="preserve"> die</w:t>
      </w:r>
      <w:r w:rsidRPr="0035791A" w:rsidR="00DD39F1">
        <w:rPr>
          <w:rFonts w:ascii="Times New Roman" w:hAnsi="Times New Roman" w:cs="Times New Roman"/>
          <w:i/>
          <w:iCs/>
          <w:sz w:val="24"/>
          <w:szCs w:val="24"/>
        </w:rPr>
        <w:t xml:space="preserve"> in 2019 is aanvaard door beide Kamers</w:t>
      </w:r>
      <w:r w:rsidRPr="0035791A" w:rsidR="00CA47D5">
        <w:rPr>
          <w:rFonts w:ascii="Times New Roman" w:hAnsi="Times New Roman" w:cs="Times New Roman"/>
          <w:i/>
          <w:iCs/>
          <w:sz w:val="24"/>
          <w:szCs w:val="24"/>
        </w:rPr>
        <w:t xml:space="preserve"> – </w:t>
      </w:r>
      <w:r w:rsidRPr="0035791A" w:rsidR="00DD39F1">
        <w:rPr>
          <w:rFonts w:ascii="Times New Roman" w:hAnsi="Times New Roman" w:cs="Times New Roman"/>
          <w:i/>
          <w:iCs/>
          <w:sz w:val="24"/>
          <w:szCs w:val="24"/>
        </w:rPr>
        <w:t>nog altijd niet in werking is getreden. De Rotterdam Rules hebben eveneens tot doel de bestaande verdragen over goederenvervoer over zee te uniformeren en te moderniseren. Aangezien de bedoeling daarvan is dat iedereen zich aan dezelfde regels moet houden, leidt dat tot een verlaging van de vervoerskosten. De</w:t>
      </w:r>
      <w:r w:rsidRPr="0035791A" w:rsidR="005A78E4">
        <w:rPr>
          <w:rFonts w:ascii="Times New Roman" w:hAnsi="Times New Roman" w:cs="Times New Roman"/>
          <w:i/>
          <w:iCs/>
          <w:sz w:val="24"/>
          <w:szCs w:val="24"/>
        </w:rPr>
        <w:t>ze</w:t>
      </w:r>
      <w:r w:rsidRPr="0035791A" w:rsidR="00DD39F1">
        <w:rPr>
          <w:rFonts w:ascii="Times New Roman" w:hAnsi="Times New Roman" w:cs="Times New Roman"/>
          <w:i/>
          <w:iCs/>
          <w:sz w:val="24"/>
          <w:szCs w:val="24"/>
        </w:rPr>
        <w:t xml:space="preserve"> leden lezen in de memorie van toelichting en in de reactie van de regering op het advies van de Afdeling advisering van de Raad van State dat is overwogen de Rotterdam Rules in werking te laten treden, maar dat hiervan is afgezien. De</w:t>
      </w:r>
      <w:r w:rsidRPr="0035791A" w:rsidR="00523243">
        <w:rPr>
          <w:rFonts w:ascii="Times New Roman" w:hAnsi="Times New Roman" w:cs="Times New Roman"/>
          <w:i/>
          <w:iCs/>
          <w:sz w:val="24"/>
          <w:szCs w:val="24"/>
        </w:rPr>
        <w:t>ze</w:t>
      </w:r>
      <w:r w:rsidRPr="0035791A" w:rsidR="00DD39F1">
        <w:rPr>
          <w:rFonts w:ascii="Times New Roman" w:hAnsi="Times New Roman" w:cs="Times New Roman"/>
          <w:i/>
          <w:iCs/>
          <w:sz w:val="24"/>
          <w:szCs w:val="24"/>
        </w:rPr>
        <w:t xml:space="preserve"> leden vinden het begrijpelijk in verband met het creëren van een gelijk speelveld dat Nederland inwerkingtreding afstemt op onze belangrijkste handelspartners zoals Duitsland, Frankrijk, </w:t>
      </w:r>
      <w:r w:rsidRPr="0035791A" w:rsidR="00774AEA">
        <w:rPr>
          <w:rFonts w:ascii="Times New Roman" w:hAnsi="Times New Roman" w:cs="Times New Roman"/>
          <w:i/>
          <w:iCs/>
          <w:sz w:val="24"/>
          <w:szCs w:val="24"/>
        </w:rPr>
        <w:t xml:space="preserve">het </w:t>
      </w:r>
      <w:r w:rsidRPr="0035791A" w:rsidR="00DD39F1">
        <w:rPr>
          <w:rFonts w:ascii="Times New Roman" w:hAnsi="Times New Roman" w:cs="Times New Roman"/>
          <w:i/>
          <w:iCs/>
          <w:sz w:val="24"/>
          <w:szCs w:val="24"/>
        </w:rPr>
        <w:t>V</w:t>
      </w:r>
      <w:r w:rsidRPr="0035791A" w:rsidR="00774AEA">
        <w:rPr>
          <w:rFonts w:ascii="Times New Roman" w:hAnsi="Times New Roman" w:cs="Times New Roman"/>
          <w:i/>
          <w:iCs/>
          <w:sz w:val="24"/>
          <w:szCs w:val="24"/>
        </w:rPr>
        <w:t xml:space="preserve">erenigd </w:t>
      </w:r>
      <w:r w:rsidRPr="0035791A" w:rsidR="00DD39F1">
        <w:rPr>
          <w:rFonts w:ascii="Times New Roman" w:hAnsi="Times New Roman" w:cs="Times New Roman"/>
          <w:i/>
          <w:iCs/>
          <w:sz w:val="24"/>
          <w:szCs w:val="24"/>
        </w:rPr>
        <w:t>K</w:t>
      </w:r>
      <w:r w:rsidRPr="0035791A" w:rsidR="00774AEA">
        <w:rPr>
          <w:rFonts w:ascii="Times New Roman" w:hAnsi="Times New Roman" w:cs="Times New Roman"/>
          <w:i/>
          <w:iCs/>
          <w:sz w:val="24"/>
          <w:szCs w:val="24"/>
        </w:rPr>
        <w:t>oninkrijk</w:t>
      </w:r>
      <w:r w:rsidRPr="0035791A" w:rsidR="00DD39F1">
        <w:rPr>
          <w:rFonts w:ascii="Times New Roman" w:hAnsi="Times New Roman" w:cs="Times New Roman"/>
          <w:i/>
          <w:iCs/>
          <w:sz w:val="24"/>
          <w:szCs w:val="24"/>
        </w:rPr>
        <w:t xml:space="preserve"> en de V</w:t>
      </w:r>
      <w:r w:rsidRPr="0035791A" w:rsidR="00774AEA">
        <w:rPr>
          <w:rFonts w:ascii="Times New Roman" w:hAnsi="Times New Roman" w:cs="Times New Roman"/>
          <w:i/>
          <w:iCs/>
          <w:sz w:val="24"/>
          <w:szCs w:val="24"/>
        </w:rPr>
        <w:t xml:space="preserve">erenigde </w:t>
      </w:r>
      <w:r w:rsidRPr="0035791A" w:rsidR="00DD39F1">
        <w:rPr>
          <w:rFonts w:ascii="Times New Roman" w:hAnsi="Times New Roman" w:cs="Times New Roman"/>
          <w:i/>
          <w:iCs/>
          <w:sz w:val="24"/>
          <w:szCs w:val="24"/>
        </w:rPr>
        <w:t>S</w:t>
      </w:r>
      <w:r w:rsidRPr="0035791A" w:rsidR="00774AEA">
        <w:rPr>
          <w:rFonts w:ascii="Times New Roman" w:hAnsi="Times New Roman" w:cs="Times New Roman"/>
          <w:i/>
          <w:iCs/>
          <w:sz w:val="24"/>
          <w:szCs w:val="24"/>
        </w:rPr>
        <w:t>taten</w:t>
      </w:r>
      <w:r w:rsidRPr="0035791A" w:rsidR="00DD39F1">
        <w:rPr>
          <w:rFonts w:ascii="Times New Roman" w:hAnsi="Times New Roman" w:cs="Times New Roman"/>
          <w:i/>
          <w:iCs/>
          <w:sz w:val="24"/>
          <w:szCs w:val="24"/>
        </w:rPr>
        <w:t>. De</w:t>
      </w:r>
      <w:r w:rsidRPr="0035791A" w:rsidR="0072354B">
        <w:rPr>
          <w:rFonts w:ascii="Times New Roman" w:hAnsi="Times New Roman" w:cs="Times New Roman"/>
          <w:i/>
          <w:iCs/>
          <w:sz w:val="24"/>
          <w:szCs w:val="24"/>
        </w:rPr>
        <w:t>ze</w:t>
      </w:r>
      <w:r w:rsidRPr="0035791A" w:rsidR="00DD39F1">
        <w:rPr>
          <w:rFonts w:ascii="Times New Roman" w:hAnsi="Times New Roman" w:cs="Times New Roman"/>
          <w:i/>
          <w:iCs/>
          <w:sz w:val="24"/>
          <w:szCs w:val="24"/>
        </w:rPr>
        <w:t xml:space="preserve"> leden zien graag een overzicht van de inspanningen die de afgelopen jaren zijn verricht</w:t>
      </w:r>
      <w:r w:rsidRPr="0035791A" w:rsidR="001F3393">
        <w:rPr>
          <w:rFonts w:ascii="Times New Roman" w:hAnsi="Times New Roman" w:cs="Times New Roman"/>
          <w:i/>
          <w:iCs/>
          <w:sz w:val="24"/>
          <w:szCs w:val="24"/>
        </w:rPr>
        <w:t>,</w:t>
      </w:r>
      <w:r w:rsidRPr="0035791A" w:rsidR="00DD39F1">
        <w:rPr>
          <w:rFonts w:ascii="Times New Roman" w:hAnsi="Times New Roman" w:cs="Times New Roman"/>
          <w:i/>
          <w:iCs/>
          <w:sz w:val="24"/>
          <w:szCs w:val="24"/>
        </w:rPr>
        <w:t xml:space="preserve"> om de Rotterdam Rules in werking te laten treden en de knelpunten die er nog zijn waardoor deze regels niet in werking kunnen treden. Ook zien </w:t>
      </w:r>
      <w:r w:rsidRPr="0035791A" w:rsidR="001F3393">
        <w:rPr>
          <w:rFonts w:ascii="Times New Roman" w:hAnsi="Times New Roman" w:cs="Times New Roman"/>
          <w:i/>
          <w:iCs/>
          <w:sz w:val="24"/>
          <w:szCs w:val="24"/>
        </w:rPr>
        <w:t>deze leden</w:t>
      </w:r>
      <w:r w:rsidRPr="0035791A" w:rsidR="00DD39F1">
        <w:rPr>
          <w:rFonts w:ascii="Times New Roman" w:hAnsi="Times New Roman" w:cs="Times New Roman"/>
          <w:i/>
          <w:iCs/>
          <w:sz w:val="24"/>
          <w:szCs w:val="24"/>
        </w:rPr>
        <w:t xml:space="preserve"> graag een recente inschatting van de verlaging van de vervoerskosten die zou worden bereikt als de Uitvoeringswet Rotterdam Rules bijvoorbeeld in 2026 of 2027 in werking zou treden en hoe de Uitvoeringswet en onderhavig wetsvoorstel zich verhouden tot de MLETR. Welke verschillen zijn er na inwerkingtreding nog tussen de MLETR en het Burgerlijk Wetboek en welke verschillen bestaan er tussen het Burgerlijk Wetboek en de Rotterdam Rules?</w:t>
      </w:r>
      <w:r w:rsidRPr="0035791A" w:rsidR="00061143">
        <w:rPr>
          <w:rFonts w:ascii="Times New Roman" w:hAnsi="Times New Roman" w:cs="Times New Roman"/>
          <w:bCs/>
          <w:i/>
          <w:iCs/>
          <w:sz w:val="24"/>
          <w:szCs w:val="24"/>
        </w:rPr>
        <w:br/>
      </w:r>
      <w:r w:rsidRPr="0035791A" w:rsidR="00430B3E">
        <w:rPr>
          <w:rFonts w:ascii="Times New Roman" w:hAnsi="Times New Roman" w:cs="Times New Roman"/>
          <w:bCs/>
          <w:sz w:val="24"/>
          <w:szCs w:val="24"/>
        </w:rPr>
        <w:t xml:space="preserve">Op dit moment zijn de Rotterdam Rules door </w:t>
      </w:r>
      <w:r w:rsidRPr="0035791A" w:rsidR="00B348A5">
        <w:rPr>
          <w:rFonts w:ascii="Times New Roman" w:hAnsi="Times New Roman" w:cs="Times New Roman"/>
          <w:bCs/>
          <w:sz w:val="24"/>
          <w:szCs w:val="24"/>
        </w:rPr>
        <w:t xml:space="preserve">vijf staten (Benin, Kameroen, Republiek Congo, Spanje en Togo) geratificeerd. Voor inwerkingtreding zijn twintig </w:t>
      </w:r>
      <w:r w:rsidRPr="0035791A" w:rsidR="009F16EB">
        <w:rPr>
          <w:rFonts w:ascii="Times New Roman" w:hAnsi="Times New Roman" w:cs="Times New Roman"/>
          <w:bCs/>
          <w:sz w:val="24"/>
          <w:szCs w:val="24"/>
        </w:rPr>
        <w:t>staten</w:t>
      </w:r>
      <w:r w:rsidRPr="0035791A" w:rsidR="00B348A5">
        <w:rPr>
          <w:rFonts w:ascii="Times New Roman" w:hAnsi="Times New Roman" w:cs="Times New Roman"/>
          <w:bCs/>
          <w:sz w:val="24"/>
          <w:szCs w:val="24"/>
        </w:rPr>
        <w:t xml:space="preserve"> nodig</w:t>
      </w:r>
      <w:r w:rsidRPr="0035791A" w:rsidR="008A595C">
        <w:rPr>
          <w:rFonts w:ascii="Times New Roman" w:hAnsi="Times New Roman" w:cs="Times New Roman"/>
          <w:bCs/>
          <w:sz w:val="24"/>
          <w:szCs w:val="24"/>
        </w:rPr>
        <w:t xml:space="preserve"> en </w:t>
      </w:r>
      <w:r w:rsidRPr="0035791A" w:rsidR="00723663">
        <w:rPr>
          <w:rFonts w:ascii="Times New Roman" w:hAnsi="Times New Roman" w:cs="Times New Roman"/>
          <w:bCs/>
          <w:sz w:val="24"/>
          <w:szCs w:val="24"/>
        </w:rPr>
        <w:t>het moment</w:t>
      </w:r>
      <w:r w:rsidRPr="0035791A" w:rsidR="009F16EB">
        <w:rPr>
          <w:rFonts w:ascii="Times New Roman" w:hAnsi="Times New Roman" w:cs="Times New Roman"/>
          <w:bCs/>
          <w:sz w:val="24"/>
          <w:szCs w:val="24"/>
        </w:rPr>
        <w:t xml:space="preserve"> van inwerkingtreding</w:t>
      </w:r>
      <w:r w:rsidRPr="0035791A" w:rsidR="008A595C">
        <w:rPr>
          <w:rFonts w:ascii="Times New Roman" w:hAnsi="Times New Roman" w:cs="Times New Roman"/>
          <w:bCs/>
          <w:sz w:val="24"/>
          <w:szCs w:val="24"/>
        </w:rPr>
        <w:t xml:space="preserve"> zal</w:t>
      </w:r>
      <w:r w:rsidRPr="0035791A" w:rsidR="009F16EB">
        <w:rPr>
          <w:rFonts w:ascii="Times New Roman" w:hAnsi="Times New Roman" w:cs="Times New Roman"/>
          <w:bCs/>
          <w:sz w:val="24"/>
          <w:szCs w:val="24"/>
        </w:rPr>
        <w:t xml:space="preserve"> tevens</w:t>
      </w:r>
      <w:r w:rsidRPr="0035791A" w:rsidR="008A595C">
        <w:rPr>
          <w:rFonts w:ascii="Times New Roman" w:hAnsi="Times New Roman" w:cs="Times New Roman"/>
          <w:bCs/>
          <w:sz w:val="24"/>
          <w:szCs w:val="24"/>
        </w:rPr>
        <w:t>, zoals de VVD-fractie ook stelt, worden afgestemd op de ratificatie door belangrijke handelspartners.</w:t>
      </w:r>
      <w:r w:rsidRPr="0035791A" w:rsidR="00723663">
        <w:rPr>
          <w:rFonts w:ascii="Times New Roman" w:hAnsi="Times New Roman" w:cs="Times New Roman"/>
          <w:bCs/>
          <w:sz w:val="24"/>
          <w:szCs w:val="24"/>
        </w:rPr>
        <w:t xml:space="preserve"> Om andere landen aan te sporen om het verdrag te ratificeren, is o.a. in internationale gremia (zoals bij de </w:t>
      </w:r>
      <w:r w:rsidRPr="0035791A" w:rsidR="00723663">
        <w:rPr>
          <w:rFonts w:ascii="Times New Roman" w:hAnsi="Times New Roman" w:cs="Times New Roman"/>
          <w:bCs/>
          <w:i/>
          <w:iCs/>
          <w:sz w:val="24"/>
          <w:szCs w:val="24"/>
        </w:rPr>
        <w:t>International Maritime Organization</w:t>
      </w:r>
      <w:r w:rsidRPr="0035791A" w:rsidR="00723663">
        <w:rPr>
          <w:rFonts w:ascii="Times New Roman" w:hAnsi="Times New Roman" w:cs="Times New Roman"/>
          <w:bCs/>
          <w:sz w:val="24"/>
          <w:szCs w:val="24"/>
        </w:rPr>
        <w:t>) een oproep gedaan tot ratificatie.</w:t>
      </w:r>
      <w:r w:rsidRPr="0035791A" w:rsidR="008A595C">
        <w:rPr>
          <w:rFonts w:ascii="Times New Roman" w:hAnsi="Times New Roman" w:cs="Times New Roman"/>
          <w:bCs/>
          <w:sz w:val="24"/>
          <w:szCs w:val="24"/>
        </w:rPr>
        <w:t xml:space="preserve"> </w:t>
      </w:r>
      <w:r w:rsidRPr="0035791A" w:rsidR="00723663">
        <w:rPr>
          <w:rFonts w:ascii="Times New Roman" w:hAnsi="Times New Roman" w:cs="Times New Roman"/>
          <w:bCs/>
          <w:sz w:val="24"/>
          <w:szCs w:val="24"/>
        </w:rPr>
        <w:t>Ook op dit moment zoeken we nog steeds naar draagvlak. D</w:t>
      </w:r>
      <w:r w:rsidRPr="0035791A" w:rsidR="008A595C">
        <w:rPr>
          <w:rFonts w:ascii="Times New Roman" w:hAnsi="Times New Roman" w:cs="Times New Roman"/>
          <w:bCs/>
          <w:sz w:val="24"/>
          <w:szCs w:val="24"/>
        </w:rPr>
        <w:t xml:space="preserve">e Minister van Infrastructuur en Waterstaat heeft </w:t>
      </w:r>
      <w:r w:rsidRPr="0035791A" w:rsidR="00723663">
        <w:rPr>
          <w:rFonts w:ascii="Times New Roman" w:hAnsi="Times New Roman" w:cs="Times New Roman"/>
          <w:bCs/>
          <w:sz w:val="24"/>
          <w:szCs w:val="24"/>
        </w:rPr>
        <w:t>dit</w:t>
      </w:r>
      <w:r w:rsidRPr="0035791A" w:rsidR="008A595C">
        <w:rPr>
          <w:rFonts w:ascii="Times New Roman" w:hAnsi="Times New Roman" w:cs="Times New Roman"/>
          <w:bCs/>
          <w:sz w:val="24"/>
          <w:szCs w:val="24"/>
        </w:rPr>
        <w:t xml:space="preserve"> </w:t>
      </w:r>
      <w:r w:rsidRPr="0035791A" w:rsidR="00F56CF4">
        <w:rPr>
          <w:rFonts w:ascii="Times New Roman" w:hAnsi="Times New Roman" w:cs="Times New Roman"/>
          <w:bCs/>
          <w:sz w:val="24"/>
          <w:szCs w:val="24"/>
        </w:rPr>
        <w:t xml:space="preserve">in </w:t>
      </w:r>
      <w:r w:rsidRPr="0035791A" w:rsidR="008A595C">
        <w:rPr>
          <w:rFonts w:ascii="Times New Roman" w:hAnsi="Times New Roman" w:cs="Times New Roman"/>
          <w:bCs/>
          <w:sz w:val="24"/>
          <w:szCs w:val="24"/>
        </w:rPr>
        <w:t>een brief aan de Tweede Kamer, naar aanleiding van een vraag van de SGP-fractie</w:t>
      </w:r>
      <w:r w:rsidRPr="0035791A" w:rsidR="008A595C">
        <w:rPr>
          <w:rStyle w:val="Voetnootmarkering"/>
          <w:rFonts w:ascii="Times New Roman" w:hAnsi="Times New Roman" w:cs="Times New Roman"/>
          <w:bCs/>
          <w:sz w:val="24"/>
          <w:szCs w:val="24"/>
        </w:rPr>
        <w:footnoteReference w:id="2"/>
      </w:r>
      <w:r w:rsidRPr="0035791A" w:rsidR="008A595C">
        <w:rPr>
          <w:rFonts w:ascii="Times New Roman" w:hAnsi="Times New Roman" w:cs="Times New Roman"/>
          <w:bCs/>
          <w:sz w:val="24"/>
          <w:szCs w:val="24"/>
        </w:rPr>
        <w:t xml:space="preserve">, </w:t>
      </w:r>
      <w:r w:rsidRPr="0035791A" w:rsidR="00723663">
        <w:rPr>
          <w:rFonts w:ascii="Times New Roman" w:hAnsi="Times New Roman" w:cs="Times New Roman"/>
          <w:bCs/>
          <w:sz w:val="24"/>
          <w:szCs w:val="24"/>
        </w:rPr>
        <w:t xml:space="preserve">eerder al </w:t>
      </w:r>
      <w:r w:rsidRPr="0035791A" w:rsidR="008A595C">
        <w:rPr>
          <w:rFonts w:ascii="Times New Roman" w:hAnsi="Times New Roman" w:cs="Times New Roman"/>
          <w:bCs/>
          <w:sz w:val="24"/>
          <w:szCs w:val="24"/>
        </w:rPr>
        <w:t xml:space="preserve">toegezegd. </w:t>
      </w:r>
      <w:r w:rsidRPr="0035791A" w:rsidR="00723663">
        <w:rPr>
          <w:rFonts w:ascii="Times New Roman" w:hAnsi="Times New Roman" w:cs="Times New Roman"/>
          <w:bCs/>
          <w:sz w:val="24"/>
          <w:szCs w:val="24"/>
        </w:rPr>
        <w:t>Verder wil ik erop wijzen dat o</w:t>
      </w:r>
      <w:r w:rsidRPr="0035791A" w:rsidR="008A595C">
        <w:rPr>
          <w:rFonts w:ascii="Times New Roman" w:hAnsi="Times New Roman" w:cs="Times New Roman"/>
          <w:bCs/>
          <w:sz w:val="24"/>
          <w:szCs w:val="24"/>
        </w:rPr>
        <w:t xml:space="preserve">p internationaal niveau er door het </w:t>
      </w:r>
      <w:r w:rsidRPr="0035791A" w:rsidR="008A595C">
        <w:rPr>
          <w:rFonts w:ascii="Times New Roman" w:hAnsi="Times New Roman" w:cs="Times New Roman"/>
          <w:bCs/>
          <w:i/>
          <w:iCs/>
          <w:sz w:val="24"/>
          <w:szCs w:val="24"/>
        </w:rPr>
        <w:t>C</w:t>
      </w:r>
      <w:r w:rsidRPr="0035791A" w:rsidR="00B348A5">
        <w:rPr>
          <w:rFonts w:ascii="Times New Roman" w:hAnsi="Times New Roman" w:cs="Times New Roman"/>
          <w:bCs/>
          <w:i/>
          <w:iCs/>
          <w:sz w:val="24"/>
          <w:szCs w:val="24"/>
        </w:rPr>
        <w:t>omité Maritime International</w:t>
      </w:r>
      <w:r w:rsidRPr="0035791A" w:rsidR="008A595C">
        <w:rPr>
          <w:rFonts w:ascii="Times New Roman" w:hAnsi="Times New Roman" w:cs="Times New Roman"/>
          <w:bCs/>
          <w:i/>
          <w:iCs/>
          <w:sz w:val="24"/>
          <w:szCs w:val="24"/>
        </w:rPr>
        <w:t xml:space="preserve"> (</w:t>
      </w:r>
      <w:r w:rsidRPr="0035791A" w:rsidR="00B348A5">
        <w:rPr>
          <w:rFonts w:ascii="Times New Roman" w:hAnsi="Times New Roman" w:cs="Times New Roman"/>
          <w:bCs/>
          <w:i/>
          <w:iCs/>
          <w:sz w:val="24"/>
          <w:szCs w:val="24"/>
        </w:rPr>
        <w:t xml:space="preserve">CMI) </w:t>
      </w:r>
      <w:r w:rsidRPr="0035791A" w:rsidR="00B348A5">
        <w:rPr>
          <w:rFonts w:ascii="Times New Roman" w:hAnsi="Times New Roman" w:cs="Times New Roman"/>
          <w:bCs/>
          <w:sz w:val="24"/>
          <w:szCs w:val="24"/>
        </w:rPr>
        <w:t xml:space="preserve">een </w:t>
      </w:r>
      <w:r w:rsidRPr="0035791A" w:rsidR="00B348A5">
        <w:rPr>
          <w:rFonts w:ascii="Times New Roman" w:hAnsi="Times New Roman" w:cs="Times New Roman"/>
          <w:bCs/>
          <w:i/>
          <w:iCs/>
          <w:sz w:val="24"/>
          <w:szCs w:val="24"/>
        </w:rPr>
        <w:t>Standing Committee on Ratification of the Rotterdam Rules</w:t>
      </w:r>
      <w:r w:rsidRPr="0035791A" w:rsidR="00B348A5">
        <w:rPr>
          <w:rFonts w:ascii="Times New Roman" w:hAnsi="Times New Roman" w:cs="Times New Roman"/>
          <w:bCs/>
          <w:sz w:val="24"/>
          <w:szCs w:val="24"/>
        </w:rPr>
        <w:t xml:space="preserve"> </w:t>
      </w:r>
      <w:r w:rsidRPr="0035791A" w:rsidR="00723663">
        <w:rPr>
          <w:rFonts w:ascii="Times New Roman" w:hAnsi="Times New Roman" w:cs="Times New Roman"/>
          <w:bCs/>
          <w:sz w:val="24"/>
          <w:szCs w:val="24"/>
        </w:rPr>
        <w:t xml:space="preserve">is </w:t>
      </w:r>
      <w:r w:rsidRPr="0035791A" w:rsidR="00B348A5">
        <w:rPr>
          <w:rFonts w:ascii="Times New Roman" w:hAnsi="Times New Roman" w:cs="Times New Roman"/>
          <w:bCs/>
          <w:sz w:val="24"/>
          <w:szCs w:val="24"/>
        </w:rPr>
        <w:t xml:space="preserve">ingesteld, die tot doel heeft om de Rotterdam Rules door zoveel mogelijk staten te laten ratificeren en dus in werking te laten treden. </w:t>
      </w:r>
      <w:r w:rsidRPr="0035791A" w:rsidR="00BA213F">
        <w:rPr>
          <w:rFonts w:ascii="Times New Roman" w:hAnsi="Times New Roman" w:cs="Times New Roman"/>
          <w:bCs/>
          <w:sz w:val="24"/>
          <w:szCs w:val="24"/>
        </w:rPr>
        <w:t>Dit is een positieve ontwikkeling</w:t>
      </w:r>
      <w:r w:rsidRPr="0035791A" w:rsidR="00723663">
        <w:rPr>
          <w:rFonts w:ascii="Times New Roman" w:hAnsi="Times New Roman" w:cs="Times New Roman"/>
          <w:bCs/>
          <w:sz w:val="24"/>
          <w:szCs w:val="24"/>
        </w:rPr>
        <w:t>, die ik aanmoedig</w:t>
      </w:r>
      <w:r w:rsidRPr="0035791A" w:rsidR="00BA213F">
        <w:rPr>
          <w:rFonts w:ascii="Times New Roman" w:hAnsi="Times New Roman" w:cs="Times New Roman"/>
          <w:bCs/>
          <w:sz w:val="24"/>
          <w:szCs w:val="24"/>
        </w:rPr>
        <w:t>.</w:t>
      </w:r>
      <w:r w:rsidRPr="0035791A" w:rsidR="00723663">
        <w:rPr>
          <w:rFonts w:ascii="Times New Roman" w:hAnsi="Times New Roman" w:cs="Times New Roman"/>
          <w:bCs/>
          <w:sz w:val="24"/>
          <w:szCs w:val="24"/>
        </w:rPr>
        <w:t xml:space="preserve"> Ik zie dan ook geen knelpunten, behalve dat er nog niet voldoende </w:t>
      </w:r>
      <w:r w:rsidRPr="0035791A" w:rsidR="009F16EB">
        <w:rPr>
          <w:rFonts w:ascii="Times New Roman" w:hAnsi="Times New Roman" w:cs="Times New Roman"/>
          <w:bCs/>
          <w:sz w:val="24"/>
          <w:szCs w:val="24"/>
        </w:rPr>
        <w:t>staten</w:t>
      </w:r>
      <w:r w:rsidRPr="0035791A" w:rsidR="00723663">
        <w:rPr>
          <w:rFonts w:ascii="Times New Roman" w:hAnsi="Times New Roman" w:cs="Times New Roman"/>
          <w:bCs/>
          <w:sz w:val="24"/>
          <w:szCs w:val="24"/>
        </w:rPr>
        <w:t xml:space="preserve"> en </w:t>
      </w:r>
      <w:r w:rsidRPr="0035791A" w:rsidR="00723663">
        <w:rPr>
          <w:rFonts w:ascii="Times New Roman" w:hAnsi="Times New Roman" w:cs="Times New Roman"/>
          <w:bCs/>
          <w:sz w:val="24"/>
          <w:szCs w:val="24"/>
        </w:rPr>
        <w:lastRenderedPageBreak/>
        <w:t xml:space="preserve">handelspartners het verdrag hebben geratificeerd om de </w:t>
      </w:r>
      <w:r w:rsidRPr="0035791A" w:rsidR="00F819AE">
        <w:rPr>
          <w:rFonts w:ascii="Times New Roman" w:hAnsi="Times New Roman" w:cs="Times New Roman"/>
          <w:bCs/>
          <w:sz w:val="24"/>
          <w:szCs w:val="24"/>
        </w:rPr>
        <w:t>Uitvoer</w:t>
      </w:r>
      <w:r w:rsidRPr="0035791A" w:rsidR="00723663">
        <w:rPr>
          <w:rFonts w:ascii="Times New Roman" w:hAnsi="Times New Roman" w:cs="Times New Roman"/>
          <w:bCs/>
          <w:sz w:val="24"/>
          <w:szCs w:val="24"/>
        </w:rPr>
        <w:t>ingswet</w:t>
      </w:r>
      <w:r w:rsidRPr="0035791A" w:rsidR="00F819AE">
        <w:rPr>
          <w:rFonts w:ascii="Times New Roman" w:hAnsi="Times New Roman" w:cs="Times New Roman"/>
          <w:bCs/>
          <w:sz w:val="24"/>
          <w:szCs w:val="24"/>
        </w:rPr>
        <w:t xml:space="preserve"> Rotterdam Rules</w:t>
      </w:r>
      <w:r w:rsidRPr="0035791A" w:rsidR="00723663">
        <w:rPr>
          <w:rFonts w:ascii="Times New Roman" w:hAnsi="Times New Roman" w:cs="Times New Roman"/>
          <w:bCs/>
          <w:sz w:val="24"/>
          <w:szCs w:val="24"/>
        </w:rPr>
        <w:t xml:space="preserve"> in werking te kunnen laten treden voor Nederland.</w:t>
      </w:r>
      <w:r w:rsidRPr="0035791A" w:rsidR="00BA213F">
        <w:rPr>
          <w:rFonts w:ascii="Times New Roman" w:hAnsi="Times New Roman" w:cs="Times New Roman"/>
          <w:bCs/>
          <w:sz w:val="24"/>
          <w:szCs w:val="24"/>
        </w:rPr>
        <w:t xml:space="preserve"> </w:t>
      </w:r>
    </w:p>
    <w:p w:rsidRPr="0035791A" w:rsidR="008A2387" w:rsidP="0035791A" w:rsidRDefault="008A2387" w14:paraId="6FEF51A9" w14:textId="5822B120">
      <w:pPr>
        <w:spacing w:after="0" w:line="360" w:lineRule="auto"/>
        <w:rPr>
          <w:rFonts w:ascii="Times New Roman" w:hAnsi="Times New Roman" w:cs="Times New Roman"/>
          <w:bCs/>
          <w:sz w:val="24"/>
          <w:szCs w:val="24"/>
        </w:rPr>
      </w:pPr>
      <w:r w:rsidRPr="0035791A">
        <w:rPr>
          <w:rFonts w:ascii="Times New Roman" w:hAnsi="Times New Roman" w:cs="Times New Roman"/>
          <w:bCs/>
          <w:sz w:val="24"/>
          <w:szCs w:val="24"/>
        </w:rPr>
        <w:t xml:space="preserve">De Rotterdam Rules zorgen o.a. voor uniformering van de bestaande regels inzake goederenvervoer over zee. Door die uniformiteit hoeven partijen niet telkens een andere vervoerovereenkomst te sluiten en weten zij van tevoren welke regels van toepassing zijn. </w:t>
      </w:r>
      <w:r w:rsidRPr="0035791A" w:rsidR="00D95A63">
        <w:rPr>
          <w:rFonts w:ascii="Times New Roman" w:hAnsi="Times New Roman" w:cs="Times New Roman"/>
          <w:bCs/>
          <w:sz w:val="24"/>
          <w:szCs w:val="24"/>
        </w:rPr>
        <w:t xml:space="preserve">Dit zorgt voor een verlaging van de vervoerskosten, maar deze is moeilijk te kwantificeren. De regels inzake elektronische cognossementen zijn namelijk slechts een onderdeel van het verdrag. Zo bevatten de Rotterdam Rules verder o.a. nog een andere regeling inzake de aansprakelijkheid dan de bestaande bedragen, zoals hogere limieten, de mogelijkheid om een rechtstreekse actie in te stellen tegen de maritieme uitvoerende partij en geen uitsluiting van aansprakelijkheid voor navigatiefouten. Ook regelen de Rotterdam Rules de zeggenschap over goederen. Al deze elementen zullen een effect hebben op de vervoerskosten, maar zijn </w:t>
      </w:r>
      <w:r w:rsidRPr="0035791A" w:rsidR="00CF4207">
        <w:rPr>
          <w:rFonts w:ascii="Times New Roman" w:hAnsi="Times New Roman" w:cs="Times New Roman"/>
          <w:bCs/>
          <w:sz w:val="24"/>
          <w:szCs w:val="24"/>
        </w:rPr>
        <w:t>moeilijk</w:t>
      </w:r>
      <w:r w:rsidRPr="0035791A" w:rsidR="00D95A63">
        <w:rPr>
          <w:rFonts w:ascii="Times New Roman" w:hAnsi="Times New Roman" w:cs="Times New Roman"/>
          <w:bCs/>
          <w:sz w:val="24"/>
          <w:szCs w:val="24"/>
        </w:rPr>
        <w:t xml:space="preserve"> te kwantificeren.</w:t>
      </w:r>
      <w:r w:rsidRPr="0035791A" w:rsidR="00DA6129">
        <w:rPr>
          <w:rFonts w:ascii="Times New Roman" w:hAnsi="Times New Roman" w:cs="Times New Roman"/>
          <w:bCs/>
          <w:sz w:val="24"/>
          <w:szCs w:val="24"/>
        </w:rPr>
        <w:t xml:space="preserve"> </w:t>
      </w:r>
      <w:r w:rsidRPr="0035791A" w:rsidR="00606D68">
        <w:rPr>
          <w:rFonts w:ascii="Times New Roman" w:hAnsi="Times New Roman" w:cs="Times New Roman"/>
          <w:bCs/>
          <w:sz w:val="24"/>
          <w:szCs w:val="24"/>
        </w:rPr>
        <w:t>Een inschatting is daarom niet te maken.</w:t>
      </w:r>
    </w:p>
    <w:p w:rsidRPr="0035791A" w:rsidR="00F819AE" w:rsidP="0035791A" w:rsidRDefault="00F819AE" w14:paraId="0EE4E232" w14:textId="7D6ABCCC">
      <w:pPr>
        <w:spacing w:after="0" w:line="360" w:lineRule="auto"/>
        <w:rPr>
          <w:rFonts w:ascii="Times New Roman" w:hAnsi="Times New Roman" w:cs="Times New Roman"/>
          <w:bCs/>
          <w:sz w:val="24"/>
          <w:szCs w:val="24"/>
        </w:rPr>
      </w:pPr>
      <w:r w:rsidRPr="0035791A">
        <w:rPr>
          <w:rFonts w:ascii="Times New Roman" w:hAnsi="Times New Roman" w:cs="Times New Roman"/>
          <w:bCs/>
          <w:sz w:val="24"/>
          <w:szCs w:val="24"/>
        </w:rPr>
        <w:t>De Uitvoeringswet Rotterdam Rules sluit geheel, zoals de naam al doet vermoeden, aan bij de Rotterdam Rules. De Rotterdam Rules bevatten o.a. een regeling voor elektronische cognossementen. Bij het opstellen van onderhavig wetsvoorstel is onderzocht of de artikelen uit de Rotterdam Rules die betrekking hebben op het elektronisch vervoerbestand</w:t>
      </w:r>
      <w:r w:rsidRPr="0035791A" w:rsidR="00EE7585">
        <w:rPr>
          <w:rFonts w:ascii="Times New Roman" w:hAnsi="Times New Roman" w:cs="Times New Roman"/>
          <w:bCs/>
          <w:sz w:val="24"/>
          <w:szCs w:val="24"/>
        </w:rPr>
        <w:t xml:space="preserve"> (inclusief een aantal artikel</w:t>
      </w:r>
      <w:r w:rsidRPr="0035791A" w:rsidR="00606D68">
        <w:rPr>
          <w:rFonts w:ascii="Times New Roman" w:hAnsi="Times New Roman" w:cs="Times New Roman"/>
          <w:bCs/>
          <w:sz w:val="24"/>
          <w:szCs w:val="24"/>
        </w:rPr>
        <w:t>en</w:t>
      </w:r>
      <w:r w:rsidRPr="0035791A" w:rsidR="00EE7585">
        <w:rPr>
          <w:rFonts w:ascii="Times New Roman" w:hAnsi="Times New Roman" w:cs="Times New Roman"/>
          <w:bCs/>
          <w:sz w:val="24"/>
          <w:szCs w:val="24"/>
        </w:rPr>
        <w:t xml:space="preserve"> inzake de houder van een elektronisch vervoerbestand)</w:t>
      </w:r>
      <w:r w:rsidRPr="0035791A">
        <w:rPr>
          <w:rFonts w:ascii="Times New Roman" w:hAnsi="Times New Roman" w:cs="Times New Roman"/>
          <w:bCs/>
          <w:sz w:val="24"/>
          <w:szCs w:val="24"/>
        </w:rPr>
        <w:t xml:space="preserve"> één-op-één overgenomen konden worden in een nieuwe</w:t>
      </w:r>
    </w:p>
    <w:p w:rsidRPr="0035791A" w:rsidR="00F819AE" w:rsidP="00F819AE" w:rsidRDefault="00F819AE" w14:paraId="48E83EA5" w14:textId="38BF1886">
      <w:pPr>
        <w:spacing w:after="0" w:line="360" w:lineRule="auto"/>
        <w:rPr>
          <w:rFonts w:ascii="Times New Roman" w:hAnsi="Times New Roman" w:cs="Times New Roman"/>
          <w:bCs/>
          <w:sz w:val="24"/>
          <w:szCs w:val="24"/>
        </w:rPr>
      </w:pPr>
      <w:r w:rsidRPr="0035791A">
        <w:rPr>
          <w:rFonts w:ascii="Times New Roman" w:hAnsi="Times New Roman" w:cs="Times New Roman"/>
          <w:bCs/>
          <w:sz w:val="24"/>
          <w:szCs w:val="24"/>
        </w:rPr>
        <w:t>afdeling in Boek 8 BW</w:t>
      </w:r>
      <w:r w:rsidRPr="0035791A" w:rsidR="00EE7585">
        <w:rPr>
          <w:rFonts w:ascii="Times New Roman" w:hAnsi="Times New Roman" w:cs="Times New Roman"/>
          <w:bCs/>
          <w:sz w:val="24"/>
          <w:szCs w:val="24"/>
        </w:rPr>
        <w:t xml:space="preserve">. </w:t>
      </w:r>
      <w:r w:rsidRPr="0035791A">
        <w:rPr>
          <w:rFonts w:ascii="Times New Roman" w:hAnsi="Times New Roman" w:cs="Times New Roman"/>
          <w:bCs/>
          <w:sz w:val="24"/>
          <w:szCs w:val="24"/>
        </w:rPr>
        <w:t>Dit heeft geleid tot het conceptwetsvoorstel waarover</w:t>
      </w:r>
      <w:r w:rsidRPr="0035791A" w:rsidR="00EE7585">
        <w:rPr>
          <w:rFonts w:ascii="Times New Roman" w:hAnsi="Times New Roman" w:cs="Times New Roman"/>
          <w:bCs/>
          <w:sz w:val="24"/>
          <w:szCs w:val="24"/>
        </w:rPr>
        <w:t xml:space="preserve"> in</w:t>
      </w:r>
      <w:r w:rsidRPr="0035791A">
        <w:rPr>
          <w:rFonts w:ascii="Times New Roman" w:hAnsi="Times New Roman" w:cs="Times New Roman"/>
          <w:bCs/>
          <w:sz w:val="24"/>
          <w:szCs w:val="24"/>
        </w:rPr>
        <w:t xml:space="preserve"> juli 2022 is geconsulteerd. </w:t>
      </w:r>
      <w:r w:rsidRPr="0035791A" w:rsidR="00EE7585">
        <w:rPr>
          <w:rFonts w:ascii="Times New Roman" w:hAnsi="Times New Roman" w:cs="Times New Roman"/>
          <w:bCs/>
          <w:sz w:val="24"/>
          <w:szCs w:val="24"/>
        </w:rPr>
        <w:t xml:space="preserve">Uit de consultatie bleek dat </w:t>
      </w:r>
      <w:r w:rsidRPr="0035791A">
        <w:rPr>
          <w:rFonts w:ascii="Times New Roman" w:hAnsi="Times New Roman" w:cs="Times New Roman"/>
          <w:bCs/>
          <w:sz w:val="24"/>
          <w:szCs w:val="24"/>
        </w:rPr>
        <w:t xml:space="preserve">voor deze </w:t>
      </w:r>
      <w:r w:rsidRPr="0035791A" w:rsidR="00EE7585">
        <w:rPr>
          <w:rFonts w:ascii="Times New Roman" w:hAnsi="Times New Roman" w:cs="Times New Roman"/>
          <w:bCs/>
          <w:sz w:val="24"/>
          <w:szCs w:val="24"/>
        </w:rPr>
        <w:t>aansluiting bij de Rotterdam Rules</w:t>
      </w:r>
      <w:r w:rsidRPr="0035791A">
        <w:rPr>
          <w:rFonts w:ascii="Times New Roman" w:hAnsi="Times New Roman" w:cs="Times New Roman"/>
          <w:bCs/>
          <w:sz w:val="24"/>
          <w:szCs w:val="24"/>
        </w:rPr>
        <w:t xml:space="preserve"> onvoldoende steun was</w:t>
      </w:r>
      <w:r w:rsidRPr="0035791A" w:rsidR="00EE7585">
        <w:rPr>
          <w:rFonts w:ascii="Times New Roman" w:hAnsi="Times New Roman" w:cs="Times New Roman"/>
          <w:bCs/>
          <w:sz w:val="24"/>
          <w:szCs w:val="24"/>
        </w:rPr>
        <w:t xml:space="preserve">. </w:t>
      </w:r>
      <w:r w:rsidRPr="0035791A">
        <w:rPr>
          <w:rFonts w:ascii="Times New Roman" w:hAnsi="Times New Roman" w:cs="Times New Roman"/>
          <w:bCs/>
          <w:sz w:val="24"/>
          <w:szCs w:val="24"/>
        </w:rPr>
        <w:t>Het belangrijkste bezwaar was dat de voorgestelde</w:t>
      </w:r>
      <w:r w:rsidRPr="0035791A" w:rsidR="00EE7585">
        <w:rPr>
          <w:rFonts w:ascii="Times New Roman" w:hAnsi="Times New Roman" w:cs="Times New Roman"/>
          <w:bCs/>
          <w:sz w:val="24"/>
          <w:szCs w:val="24"/>
        </w:rPr>
        <w:t xml:space="preserve"> </w:t>
      </w:r>
      <w:r w:rsidRPr="0035791A">
        <w:rPr>
          <w:rFonts w:ascii="Times New Roman" w:hAnsi="Times New Roman" w:cs="Times New Roman"/>
          <w:bCs/>
          <w:sz w:val="24"/>
          <w:szCs w:val="24"/>
        </w:rPr>
        <w:t>regeling niet goed aansloot bij het nationale recht</w:t>
      </w:r>
      <w:r w:rsidRPr="0035791A" w:rsidR="00EE7585">
        <w:rPr>
          <w:rFonts w:ascii="Times New Roman" w:hAnsi="Times New Roman" w:cs="Times New Roman"/>
          <w:bCs/>
          <w:sz w:val="24"/>
          <w:szCs w:val="24"/>
        </w:rPr>
        <w:t xml:space="preserve"> en hierdoor tot vragen over de afbakening zou leiden. Dit komt doordat de </w:t>
      </w:r>
      <w:r w:rsidRPr="0035791A">
        <w:rPr>
          <w:rFonts w:ascii="Times New Roman" w:hAnsi="Times New Roman" w:cs="Times New Roman"/>
          <w:bCs/>
          <w:sz w:val="24"/>
          <w:szCs w:val="24"/>
        </w:rPr>
        <w:t xml:space="preserve">Rotterdam Rules </w:t>
      </w:r>
      <w:r w:rsidRPr="0035791A" w:rsidR="009F16EB">
        <w:rPr>
          <w:rFonts w:ascii="Times New Roman" w:hAnsi="Times New Roman" w:cs="Times New Roman"/>
          <w:bCs/>
          <w:sz w:val="24"/>
          <w:szCs w:val="24"/>
        </w:rPr>
        <w:t xml:space="preserve">een </w:t>
      </w:r>
      <w:r w:rsidRPr="0035791A">
        <w:rPr>
          <w:rFonts w:ascii="Times New Roman" w:hAnsi="Times New Roman" w:cs="Times New Roman"/>
          <w:bCs/>
          <w:sz w:val="24"/>
          <w:szCs w:val="24"/>
        </w:rPr>
        <w:t>eigen begrippenkader</w:t>
      </w:r>
      <w:r w:rsidRPr="0035791A" w:rsidR="00EE7585">
        <w:rPr>
          <w:rFonts w:ascii="Times New Roman" w:hAnsi="Times New Roman" w:cs="Times New Roman"/>
          <w:bCs/>
          <w:sz w:val="24"/>
          <w:szCs w:val="24"/>
        </w:rPr>
        <w:t xml:space="preserve"> kennen</w:t>
      </w:r>
      <w:r w:rsidRPr="0035791A">
        <w:rPr>
          <w:rFonts w:ascii="Times New Roman" w:hAnsi="Times New Roman" w:cs="Times New Roman"/>
          <w:bCs/>
          <w:sz w:val="24"/>
          <w:szCs w:val="24"/>
        </w:rPr>
        <w:t>, dat niet geheel aansluit bij de</w:t>
      </w:r>
      <w:r w:rsidRPr="0035791A" w:rsidR="00EE7585">
        <w:rPr>
          <w:rFonts w:ascii="Times New Roman" w:hAnsi="Times New Roman" w:cs="Times New Roman"/>
          <w:bCs/>
          <w:sz w:val="24"/>
          <w:szCs w:val="24"/>
        </w:rPr>
        <w:t xml:space="preserve"> </w:t>
      </w:r>
      <w:r w:rsidRPr="0035791A">
        <w:rPr>
          <w:rFonts w:ascii="Times New Roman" w:hAnsi="Times New Roman" w:cs="Times New Roman"/>
          <w:bCs/>
          <w:sz w:val="24"/>
          <w:szCs w:val="24"/>
        </w:rPr>
        <w:t>regeling in Boek 8 BW</w:t>
      </w:r>
      <w:r w:rsidRPr="0035791A" w:rsidR="00EE7585">
        <w:rPr>
          <w:rFonts w:ascii="Times New Roman" w:hAnsi="Times New Roman" w:cs="Times New Roman"/>
          <w:bCs/>
          <w:sz w:val="24"/>
          <w:szCs w:val="24"/>
        </w:rPr>
        <w:t>. Er is daarom, naar aanleiding van de consultatie, voor gekozen om in het wetsvoorstel aan te sluiten bij de M</w:t>
      </w:r>
      <w:r w:rsidRPr="0035791A" w:rsidR="00353600">
        <w:rPr>
          <w:rFonts w:ascii="Times New Roman" w:hAnsi="Times New Roman" w:cs="Times New Roman"/>
          <w:bCs/>
          <w:sz w:val="24"/>
          <w:szCs w:val="24"/>
        </w:rPr>
        <w:t>odel Law</w:t>
      </w:r>
      <w:r w:rsidRPr="0035791A" w:rsidR="00EE7585">
        <w:rPr>
          <w:rFonts w:ascii="Times New Roman" w:hAnsi="Times New Roman" w:cs="Times New Roman"/>
          <w:bCs/>
          <w:sz w:val="24"/>
          <w:szCs w:val="24"/>
        </w:rPr>
        <w:t xml:space="preserve">. Overigens wil dit niet zeggen dat het wetsvoorstel </w:t>
      </w:r>
      <w:r w:rsidRPr="0035791A" w:rsidR="004D0E8E">
        <w:rPr>
          <w:rFonts w:ascii="Times New Roman" w:hAnsi="Times New Roman" w:cs="Times New Roman"/>
          <w:bCs/>
          <w:sz w:val="24"/>
          <w:szCs w:val="24"/>
        </w:rPr>
        <w:t>wringt met</w:t>
      </w:r>
      <w:r w:rsidRPr="0035791A" w:rsidR="00EE7585">
        <w:rPr>
          <w:rFonts w:ascii="Times New Roman" w:hAnsi="Times New Roman" w:cs="Times New Roman"/>
          <w:bCs/>
          <w:sz w:val="24"/>
          <w:szCs w:val="24"/>
        </w:rPr>
        <w:t xml:space="preserve"> de Rotterdam Rules, want bij het opstellen van de MLETR is geput uit de Rotterdam Rules. In de tabel op blz. 4 van de toelichting bij het wetsvoorstel is </w:t>
      </w:r>
      <w:r w:rsidRPr="0035791A" w:rsidR="00804DD0">
        <w:rPr>
          <w:rFonts w:ascii="Times New Roman" w:hAnsi="Times New Roman" w:cs="Times New Roman"/>
          <w:bCs/>
          <w:sz w:val="24"/>
          <w:szCs w:val="24"/>
        </w:rPr>
        <w:t>te zien dat de regelingen overeenkomen</w:t>
      </w:r>
      <w:r w:rsidRPr="0035791A" w:rsidR="00EE7585">
        <w:rPr>
          <w:rFonts w:ascii="Times New Roman" w:hAnsi="Times New Roman" w:cs="Times New Roman"/>
          <w:bCs/>
          <w:sz w:val="24"/>
          <w:szCs w:val="24"/>
        </w:rPr>
        <w:t>.</w:t>
      </w:r>
    </w:p>
    <w:p w:rsidRPr="0035791A" w:rsidR="00EE7585" w:rsidP="00FF655A" w:rsidRDefault="00E02D63" w14:paraId="1BC3A2B6" w14:textId="0A07CA09">
      <w:pPr>
        <w:spacing w:after="0" w:line="360" w:lineRule="auto"/>
        <w:rPr>
          <w:rFonts w:ascii="Times New Roman" w:hAnsi="Times New Roman" w:cs="Times New Roman"/>
          <w:bCs/>
          <w:sz w:val="24"/>
          <w:szCs w:val="24"/>
        </w:rPr>
      </w:pPr>
      <w:r w:rsidRPr="0035791A">
        <w:rPr>
          <w:rFonts w:ascii="Times New Roman" w:hAnsi="Times New Roman" w:cs="Times New Roman"/>
          <w:bCs/>
          <w:sz w:val="24"/>
          <w:szCs w:val="24"/>
        </w:rPr>
        <w:t xml:space="preserve">De leden van de aan het woord zijnde </w:t>
      </w:r>
      <w:r w:rsidRPr="0035791A" w:rsidR="00380D55">
        <w:rPr>
          <w:rFonts w:ascii="Times New Roman" w:hAnsi="Times New Roman" w:cs="Times New Roman"/>
          <w:bCs/>
          <w:sz w:val="24"/>
          <w:szCs w:val="24"/>
        </w:rPr>
        <w:t>fractie vra</w:t>
      </w:r>
      <w:r w:rsidRPr="0035791A">
        <w:rPr>
          <w:rFonts w:ascii="Times New Roman" w:hAnsi="Times New Roman" w:cs="Times New Roman"/>
          <w:bCs/>
          <w:sz w:val="24"/>
          <w:szCs w:val="24"/>
        </w:rPr>
        <w:t>gen</w:t>
      </w:r>
      <w:r w:rsidRPr="0035791A" w:rsidR="00380D55">
        <w:rPr>
          <w:rFonts w:ascii="Times New Roman" w:hAnsi="Times New Roman" w:cs="Times New Roman"/>
          <w:bCs/>
          <w:sz w:val="24"/>
          <w:szCs w:val="24"/>
        </w:rPr>
        <w:t xml:space="preserve"> verder nog naar de verschillen, na inwerkingtreding van het wetsvoorstel, tussen de MLETR en het BW.</w:t>
      </w:r>
      <w:r w:rsidRPr="0035791A" w:rsidR="00384CE4">
        <w:rPr>
          <w:rFonts w:ascii="Times New Roman" w:hAnsi="Times New Roman" w:cs="Times New Roman"/>
          <w:bCs/>
          <w:sz w:val="24"/>
          <w:szCs w:val="24"/>
        </w:rPr>
        <w:t xml:space="preserve"> De MLETR is een modelregeling waarop landen hun regelgeving inzake elektronische bestanden kunnen baseren. Het wetsvoorstel zorgt ervoor dat het BW een regeling </w:t>
      </w:r>
      <w:r w:rsidRPr="0035791A" w:rsidR="00FF655A">
        <w:rPr>
          <w:rFonts w:ascii="Times New Roman" w:hAnsi="Times New Roman" w:cs="Times New Roman"/>
          <w:bCs/>
          <w:sz w:val="24"/>
          <w:szCs w:val="24"/>
        </w:rPr>
        <w:t xml:space="preserve">voor elektronische cognossementen </w:t>
      </w:r>
      <w:r w:rsidRPr="0035791A" w:rsidR="00384CE4">
        <w:rPr>
          <w:rFonts w:ascii="Times New Roman" w:hAnsi="Times New Roman" w:cs="Times New Roman"/>
          <w:bCs/>
          <w:sz w:val="24"/>
          <w:szCs w:val="24"/>
        </w:rPr>
        <w:t>bevat die aansluit bij de MLETR.</w:t>
      </w:r>
      <w:r w:rsidRPr="0035791A" w:rsidR="00FF655A">
        <w:rPr>
          <w:rFonts w:ascii="Times New Roman" w:hAnsi="Times New Roman" w:cs="Times New Roman"/>
          <w:bCs/>
          <w:sz w:val="24"/>
          <w:szCs w:val="24"/>
        </w:rPr>
        <w:t xml:space="preserve"> De MLETR </w:t>
      </w:r>
      <w:r w:rsidRPr="0035791A" w:rsidR="00F56CF4">
        <w:rPr>
          <w:rFonts w:ascii="Times New Roman" w:hAnsi="Times New Roman" w:cs="Times New Roman"/>
          <w:bCs/>
          <w:sz w:val="24"/>
          <w:szCs w:val="24"/>
        </w:rPr>
        <w:t xml:space="preserve">ziet </w:t>
      </w:r>
      <w:r w:rsidRPr="0035791A" w:rsidR="00FF655A">
        <w:rPr>
          <w:rFonts w:ascii="Times New Roman" w:hAnsi="Times New Roman" w:cs="Times New Roman"/>
          <w:bCs/>
          <w:sz w:val="24"/>
          <w:szCs w:val="24"/>
        </w:rPr>
        <w:t xml:space="preserve">echter niet alleen op </w:t>
      </w:r>
      <w:r w:rsidRPr="0035791A" w:rsidR="00FF655A">
        <w:rPr>
          <w:rFonts w:ascii="Times New Roman" w:hAnsi="Times New Roman" w:cs="Times New Roman"/>
          <w:bCs/>
          <w:sz w:val="24"/>
          <w:szCs w:val="24"/>
        </w:rPr>
        <w:lastRenderedPageBreak/>
        <w:t xml:space="preserve">elektronische cognossementen, maar op alle elektronische verhandelbare bestanden. Bij het opstellen van het wetsvoorstel is onderzocht of het een optie zou zijn om de MLETR geheel uit te voeren, zodat de regeling dus zou gaan gelden voor alle elektronische verhandelbare bestanden. Hier is niet voor gekozen, omdat een dergelijk wetsvoorstel gevolgen heeft voor </w:t>
      </w:r>
      <w:r w:rsidRPr="0035791A" w:rsidR="009F16EB">
        <w:rPr>
          <w:rFonts w:ascii="Times New Roman" w:hAnsi="Times New Roman" w:cs="Times New Roman"/>
          <w:bCs/>
          <w:sz w:val="24"/>
          <w:szCs w:val="24"/>
        </w:rPr>
        <w:t>allerlei</w:t>
      </w:r>
      <w:r w:rsidRPr="0035791A" w:rsidR="00FF655A">
        <w:rPr>
          <w:rFonts w:ascii="Times New Roman" w:hAnsi="Times New Roman" w:cs="Times New Roman"/>
          <w:bCs/>
          <w:sz w:val="24"/>
          <w:szCs w:val="24"/>
        </w:rPr>
        <w:t xml:space="preserve"> elektronische documenten, </w:t>
      </w:r>
      <w:r w:rsidRPr="0035791A" w:rsidR="004D0E8E">
        <w:rPr>
          <w:rFonts w:ascii="Times New Roman" w:hAnsi="Times New Roman" w:cs="Times New Roman"/>
          <w:bCs/>
          <w:sz w:val="24"/>
          <w:szCs w:val="24"/>
        </w:rPr>
        <w:t>terwijl de gevolgen voor deze andere documenten nog niet zijn onderzocht. Dit zou daarom</w:t>
      </w:r>
      <w:r w:rsidRPr="0035791A" w:rsidR="00FF655A">
        <w:rPr>
          <w:rFonts w:ascii="Times New Roman" w:hAnsi="Times New Roman" w:cs="Times New Roman"/>
          <w:bCs/>
          <w:sz w:val="24"/>
          <w:szCs w:val="24"/>
        </w:rPr>
        <w:t xml:space="preserve"> eerst goed moet</w:t>
      </w:r>
      <w:r w:rsidRPr="0035791A" w:rsidR="004D0E8E">
        <w:rPr>
          <w:rFonts w:ascii="Times New Roman" w:hAnsi="Times New Roman" w:cs="Times New Roman"/>
          <w:bCs/>
          <w:sz w:val="24"/>
          <w:szCs w:val="24"/>
        </w:rPr>
        <w:t>en</w:t>
      </w:r>
      <w:r w:rsidRPr="0035791A" w:rsidR="00FF655A">
        <w:rPr>
          <w:rFonts w:ascii="Times New Roman" w:hAnsi="Times New Roman" w:cs="Times New Roman"/>
          <w:bCs/>
          <w:sz w:val="24"/>
          <w:szCs w:val="24"/>
        </w:rPr>
        <w:t xml:space="preserve"> worden onderzocht</w:t>
      </w:r>
      <w:r w:rsidRPr="0035791A" w:rsidR="00804DD0">
        <w:rPr>
          <w:rFonts w:ascii="Times New Roman" w:hAnsi="Times New Roman" w:cs="Times New Roman"/>
          <w:bCs/>
          <w:sz w:val="24"/>
          <w:szCs w:val="24"/>
        </w:rPr>
        <w:t>. De</w:t>
      </w:r>
      <w:r w:rsidRPr="0035791A" w:rsidR="00FF655A">
        <w:rPr>
          <w:rFonts w:ascii="Times New Roman" w:hAnsi="Times New Roman" w:cs="Times New Roman"/>
          <w:bCs/>
          <w:sz w:val="24"/>
          <w:szCs w:val="24"/>
        </w:rPr>
        <w:t xml:space="preserve"> behoefte om tot een wettelijke regeling te komen voor elektronische cognossementen </w:t>
      </w:r>
      <w:r w:rsidRPr="0035791A" w:rsidR="00804DD0">
        <w:rPr>
          <w:rFonts w:ascii="Times New Roman" w:hAnsi="Times New Roman" w:cs="Times New Roman"/>
          <w:bCs/>
          <w:sz w:val="24"/>
          <w:szCs w:val="24"/>
        </w:rPr>
        <w:t xml:space="preserve">is echter </w:t>
      </w:r>
      <w:r w:rsidRPr="0035791A" w:rsidR="00FF655A">
        <w:rPr>
          <w:rFonts w:ascii="Times New Roman" w:hAnsi="Times New Roman" w:cs="Times New Roman"/>
          <w:bCs/>
          <w:sz w:val="24"/>
          <w:szCs w:val="24"/>
        </w:rPr>
        <w:t>op dit moment al duidelijk. Daarom is besloten om nu alleen een regeling te maken voor elektronische cognossementen, waarbij zoveel mogelijk is aangesloten bij de MLETR.</w:t>
      </w:r>
      <w:r w:rsidRPr="0035791A" w:rsidR="00742528">
        <w:rPr>
          <w:rFonts w:ascii="Times New Roman" w:hAnsi="Times New Roman" w:cs="Times New Roman"/>
          <w:bCs/>
          <w:sz w:val="24"/>
          <w:szCs w:val="24"/>
        </w:rPr>
        <w:t xml:space="preserve"> </w:t>
      </w:r>
      <w:r w:rsidRPr="0035791A" w:rsidR="00804DD0">
        <w:rPr>
          <w:rFonts w:ascii="Times New Roman" w:hAnsi="Times New Roman" w:cs="Times New Roman"/>
          <w:bCs/>
          <w:sz w:val="24"/>
          <w:szCs w:val="24"/>
        </w:rPr>
        <w:t xml:space="preserve">Door de keuze voor de MLETR sluiten we </w:t>
      </w:r>
      <w:r w:rsidRPr="0035791A" w:rsidR="00742528">
        <w:rPr>
          <w:rFonts w:ascii="Times New Roman" w:hAnsi="Times New Roman" w:cs="Times New Roman"/>
          <w:bCs/>
          <w:sz w:val="24"/>
          <w:szCs w:val="24"/>
        </w:rPr>
        <w:t xml:space="preserve">bovendien </w:t>
      </w:r>
      <w:r w:rsidRPr="0035791A" w:rsidR="00804DD0">
        <w:rPr>
          <w:rFonts w:ascii="Times New Roman" w:hAnsi="Times New Roman" w:cs="Times New Roman"/>
          <w:bCs/>
          <w:sz w:val="24"/>
          <w:szCs w:val="24"/>
        </w:rPr>
        <w:t xml:space="preserve">goed </w:t>
      </w:r>
      <w:r w:rsidRPr="0035791A" w:rsidR="00742528">
        <w:rPr>
          <w:rFonts w:ascii="Times New Roman" w:hAnsi="Times New Roman" w:cs="Times New Roman"/>
          <w:bCs/>
          <w:sz w:val="24"/>
          <w:szCs w:val="24"/>
        </w:rPr>
        <w:t>aan bij andere landen, zoals het Verenigd Koninkrijk en Singapore, die er ook voor hebben gekozen om aan te sluiten bij de MLETR.</w:t>
      </w:r>
    </w:p>
    <w:p w:rsidRPr="0035791A" w:rsidR="00FF655A" w:rsidP="00F82744" w:rsidRDefault="00FF655A" w14:paraId="1015AFC7" w14:textId="2B5C2BC4">
      <w:pPr>
        <w:spacing w:after="0" w:line="360" w:lineRule="auto"/>
        <w:rPr>
          <w:rFonts w:ascii="Times New Roman" w:hAnsi="Times New Roman" w:cs="Times New Roman"/>
          <w:bCs/>
          <w:sz w:val="24"/>
          <w:szCs w:val="24"/>
        </w:rPr>
      </w:pPr>
      <w:r w:rsidRPr="0035791A">
        <w:rPr>
          <w:rFonts w:ascii="Times New Roman" w:hAnsi="Times New Roman" w:cs="Times New Roman"/>
          <w:bCs/>
          <w:sz w:val="24"/>
          <w:szCs w:val="24"/>
        </w:rPr>
        <w:t xml:space="preserve">Ten aanzien van de verschillen tussen het BW en de Rotterdam Rules wil ik nog opmerken dat </w:t>
      </w:r>
      <w:r w:rsidRPr="0035791A" w:rsidR="008723AD">
        <w:rPr>
          <w:rFonts w:ascii="Times New Roman" w:hAnsi="Times New Roman" w:cs="Times New Roman"/>
          <w:bCs/>
          <w:sz w:val="24"/>
          <w:szCs w:val="24"/>
        </w:rPr>
        <w:t>de Uitvoeringswet Rotterdam Rules ervoor zorgt dat het BW</w:t>
      </w:r>
      <w:r w:rsidRPr="0035791A" w:rsidR="00353600">
        <w:rPr>
          <w:rFonts w:ascii="Times New Roman" w:hAnsi="Times New Roman" w:cs="Times New Roman"/>
          <w:bCs/>
          <w:sz w:val="24"/>
          <w:szCs w:val="24"/>
        </w:rPr>
        <w:t>, zodra deze</w:t>
      </w:r>
      <w:r w:rsidRPr="0035791A" w:rsidR="003768DE">
        <w:rPr>
          <w:rFonts w:ascii="Times New Roman" w:hAnsi="Times New Roman" w:cs="Times New Roman"/>
          <w:bCs/>
          <w:sz w:val="24"/>
          <w:szCs w:val="24"/>
        </w:rPr>
        <w:t xml:space="preserve"> uitvoering</w:t>
      </w:r>
      <w:r w:rsidRPr="0035791A" w:rsidR="00353600">
        <w:rPr>
          <w:rFonts w:ascii="Times New Roman" w:hAnsi="Times New Roman" w:cs="Times New Roman"/>
          <w:bCs/>
          <w:sz w:val="24"/>
          <w:szCs w:val="24"/>
        </w:rPr>
        <w:t>wet in werking is getreden</w:t>
      </w:r>
      <w:r w:rsidRPr="0035791A" w:rsidR="003768DE">
        <w:rPr>
          <w:rFonts w:ascii="Times New Roman" w:hAnsi="Times New Roman" w:cs="Times New Roman"/>
          <w:bCs/>
          <w:sz w:val="24"/>
          <w:szCs w:val="24"/>
        </w:rPr>
        <w:t>,</w:t>
      </w:r>
      <w:r w:rsidRPr="0035791A" w:rsidR="00434C26">
        <w:rPr>
          <w:rFonts w:ascii="Times New Roman" w:hAnsi="Times New Roman" w:cs="Times New Roman"/>
          <w:bCs/>
          <w:sz w:val="24"/>
          <w:szCs w:val="24"/>
        </w:rPr>
        <w:t xml:space="preserve"> </w:t>
      </w:r>
      <w:r w:rsidRPr="0035791A" w:rsidR="008723AD">
        <w:rPr>
          <w:rFonts w:ascii="Times New Roman" w:hAnsi="Times New Roman" w:cs="Times New Roman"/>
          <w:bCs/>
          <w:sz w:val="24"/>
          <w:szCs w:val="24"/>
        </w:rPr>
        <w:t>in overeenstemming is met de Rotterdam Rules. De Uitvoeringswet Rotterdam Rules zorgt ervoor dat de artikelen in het BW worden geschrapt of aangepast die materie bestrijken die de Rotterdam Rules al regelt. De artikelen die in het BW worden gehandhaafd, regelen materie die niet door de Rotterdam Rules wordt bestreken of die expliciet aan het nationale recht wordt overgelaten. Het BW zal dus</w:t>
      </w:r>
      <w:r w:rsidRPr="0035791A" w:rsidR="00F82744">
        <w:rPr>
          <w:rFonts w:ascii="Times New Roman" w:hAnsi="Times New Roman" w:cs="Times New Roman"/>
          <w:bCs/>
          <w:sz w:val="24"/>
          <w:szCs w:val="24"/>
        </w:rPr>
        <w:t>, na inwerkintreding van de Uitvoeringswet Rotterdam Rules,</w:t>
      </w:r>
      <w:r w:rsidRPr="0035791A" w:rsidR="008723AD">
        <w:rPr>
          <w:rFonts w:ascii="Times New Roman" w:hAnsi="Times New Roman" w:cs="Times New Roman"/>
          <w:bCs/>
          <w:sz w:val="24"/>
          <w:szCs w:val="24"/>
        </w:rPr>
        <w:t xml:space="preserve"> aansluiten bij de Rotterdam Rules en daarnaast nog nationale bepalingen bevatten die kunnen bestaan naast de Rotterdam Rules.</w:t>
      </w:r>
      <w:r w:rsidRPr="0035791A" w:rsidR="00F82744">
        <w:rPr>
          <w:rFonts w:ascii="Times New Roman" w:hAnsi="Times New Roman" w:cs="Times New Roman"/>
          <w:bCs/>
          <w:sz w:val="24"/>
          <w:szCs w:val="24"/>
        </w:rPr>
        <w:t xml:space="preserve"> Voor het geval het wetsvoorstel eerst in werking is getreden en vervolgens de Rotterdam Rules in werking treden, bevat het wetsvoorstel een samenloopbepaling (zie artikel V). De samenloopbepaling regelt dat de regels in de Rotterdam Rules die zien op het elektronisch vervoerbestand van toepassing worden in plaats van de nationale regels omtrent het elektronisch cognossement die door dit wetsvoorstel worden ingevoegd. </w:t>
      </w:r>
    </w:p>
    <w:p w:rsidRPr="0035791A" w:rsidR="005566B1" w:rsidP="00AA632D" w:rsidRDefault="00061143" w14:paraId="2F36DC97" w14:textId="77777777">
      <w:pPr>
        <w:spacing w:after="0" w:line="360" w:lineRule="auto"/>
        <w:rPr>
          <w:rFonts w:ascii="Times New Roman" w:hAnsi="Times New Roman" w:cs="Times New Roman"/>
          <w:i/>
          <w:iCs/>
          <w:sz w:val="24"/>
          <w:szCs w:val="24"/>
        </w:rPr>
      </w:pPr>
      <w:r w:rsidRPr="0035791A">
        <w:rPr>
          <w:rFonts w:ascii="Times New Roman" w:hAnsi="Times New Roman" w:cs="Times New Roman"/>
          <w:bCs/>
          <w:i/>
          <w:iCs/>
          <w:sz w:val="24"/>
          <w:szCs w:val="24"/>
        </w:rPr>
        <w:br/>
      </w:r>
      <w:r w:rsidRPr="0035791A" w:rsidR="00317098">
        <w:rPr>
          <w:rFonts w:ascii="Times New Roman" w:hAnsi="Times New Roman" w:cs="Times New Roman"/>
          <w:b/>
          <w:bCs/>
          <w:sz w:val="24"/>
          <w:szCs w:val="24"/>
        </w:rPr>
        <w:t>4. Gevolgen</w:t>
      </w:r>
      <w:r w:rsidRPr="0035791A">
        <w:rPr>
          <w:rFonts w:ascii="Times New Roman" w:hAnsi="Times New Roman" w:cs="Times New Roman"/>
          <w:bCs/>
          <w:iCs/>
          <w:sz w:val="24"/>
          <w:szCs w:val="24"/>
        </w:rPr>
        <w:br/>
      </w:r>
      <w:r w:rsidRPr="0035791A">
        <w:rPr>
          <w:rFonts w:ascii="Times New Roman" w:hAnsi="Times New Roman" w:cs="Times New Roman"/>
          <w:bCs/>
          <w:iCs/>
          <w:sz w:val="24"/>
          <w:szCs w:val="24"/>
        </w:rPr>
        <w:br/>
      </w:r>
      <w:r w:rsidRPr="0035791A" w:rsidR="00317098">
        <w:rPr>
          <w:rFonts w:ascii="Times New Roman" w:hAnsi="Times New Roman" w:cs="Times New Roman"/>
          <w:bCs/>
          <w:i/>
          <w:iCs/>
          <w:sz w:val="24"/>
          <w:szCs w:val="24"/>
        </w:rPr>
        <w:t>4.</w:t>
      </w:r>
      <w:r w:rsidRPr="0035791A">
        <w:rPr>
          <w:rFonts w:ascii="Times New Roman" w:hAnsi="Times New Roman" w:cs="Times New Roman"/>
          <w:bCs/>
          <w:i/>
          <w:iCs/>
          <w:sz w:val="24"/>
          <w:szCs w:val="24"/>
        </w:rPr>
        <w:t>1</w:t>
      </w:r>
      <w:r w:rsidRPr="0035791A" w:rsidR="00317098">
        <w:rPr>
          <w:rFonts w:ascii="Times New Roman" w:hAnsi="Times New Roman" w:cs="Times New Roman"/>
          <w:bCs/>
          <w:i/>
          <w:iCs/>
          <w:sz w:val="24"/>
          <w:szCs w:val="24"/>
        </w:rPr>
        <w:t xml:space="preserve"> Uitvoering, toezicht en handhaving</w:t>
      </w:r>
      <w:r w:rsidRPr="0035791A">
        <w:rPr>
          <w:rFonts w:ascii="Times New Roman" w:hAnsi="Times New Roman" w:cs="Times New Roman"/>
          <w:bCs/>
          <w:i/>
          <w:iCs/>
          <w:sz w:val="24"/>
          <w:szCs w:val="24"/>
        </w:rPr>
        <w:br/>
      </w:r>
      <w:r w:rsidRPr="0035791A">
        <w:rPr>
          <w:rFonts w:ascii="Times New Roman" w:hAnsi="Times New Roman" w:cs="Times New Roman"/>
          <w:bCs/>
          <w:i/>
          <w:iCs/>
          <w:sz w:val="24"/>
          <w:szCs w:val="24"/>
        </w:rPr>
        <w:br/>
      </w:r>
      <w:r w:rsidRPr="0035791A" w:rsidR="00DD39F1">
        <w:rPr>
          <w:rFonts w:ascii="Times New Roman" w:hAnsi="Times New Roman" w:cs="Times New Roman"/>
          <w:i/>
          <w:iCs/>
          <w:sz w:val="24"/>
          <w:szCs w:val="24"/>
        </w:rPr>
        <w:t>De leden van de CDA-fractie lezen dat de voorgestelde regeling een kader geeft voor het gebruik van elektronische cognossementen. Ook lezen de</w:t>
      </w:r>
      <w:r w:rsidRPr="0035791A" w:rsidR="008E1247">
        <w:rPr>
          <w:rFonts w:ascii="Times New Roman" w:hAnsi="Times New Roman" w:cs="Times New Roman"/>
          <w:i/>
          <w:iCs/>
          <w:sz w:val="24"/>
          <w:szCs w:val="24"/>
        </w:rPr>
        <w:t>ze</w:t>
      </w:r>
      <w:r w:rsidRPr="0035791A" w:rsidR="00DD39F1">
        <w:rPr>
          <w:rFonts w:ascii="Times New Roman" w:hAnsi="Times New Roman" w:cs="Times New Roman"/>
          <w:i/>
          <w:iCs/>
          <w:sz w:val="24"/>
          <w:szCs w:val="24"/>
        </w:rPr>
        <w:t xml:space="preserve"> leden dat het hierbij aan de praktijk zal worden overgelaten om betrouwbare methodes te ontwikkelen. Daarom vragen de</w:t>
      </w:r>
      <w:r w:rsidRPr="0035791A" w:rsidR="00D27CBB">
        <w:rPr>
          <w:rFonts w:ascii="Times New Roman" w:hAnsi="Times New Roman" w:cs="Times New Roman"/>
          <w:i/>
          <w:iCs/>
          <w:sz w:val="24"/>
          <w:szCs w:val="24"/>
        </w:rPr>
        <w:t>ze</w:t>
      </w:r>
      <w:r w:rsidRPr="0035791A" w:rsidR="00DD39F1">
        <w:rPr>
          <w:rFonts w:ascii="Times New Roman" w:hAnsi="Times New Roman" w:cs="Times New Roman"/>
          <w:i/>
          <w:iCs/>
          <w:sz w:val="24"/>
          <w:szCs w:val="24"/>
        </w:rPr>
        <w:t xml:space="preserve"> leden aan de regering of er op dit moment al voldoende methodes zijn op basis</w:t>
      </w:r>
      <w:r w:rsidRPr="0035791A" w:rsidR="006D422C">
        <w:rPr>
          <w:rFonts w:ascii="Times New Roman" w:hAnsi="Times New Roman" w:cs="Times New Roman"/>
          <w:i/>
          <w:iCs/>
          <w:sz w:val="24"/>
          <w:szCs w:val="24"/>
        </w:rPr>
        <w:t xml:space="preserve"> waarvan</w:t>
      </w:r>
      <w:r w:rsidRPr="0035791A" w:rsidR="008E08F1">
        <w:rPr>
          <w:rFonts w:ascii="Times New Roman" w:hAnsi="Times New Roman" w:cs="Times New Roman"/>
          <w:i/>
          <w:iCs/>
          <w:sz w:val="24"/>
          <w:szCs w:val="24"/>
        </w:rPr>
        <w:t xml:space="preserve"> </w:t>
      </w:r>
      <w:r w:rsidRPr="0035791A" w:rsidR="00DD39F1">
        <w:rPr>
          <w:rFonts w:ascii="Times New Roman" w:hAnsi="Times New Roman" w:cs="Times New Roman"/>
          <w:i/>
          <w:iCs/>
          <w:sz w:val="24"/>
          <w:szCs w:val="24"/>
        </w:rPr>
        <w:lastRenderedPageBreak/>
        <w:t xml:space="preserve">de authenticiteit kan worden gewaarborgd, </w:t>
      </w:r>
      <w:r w:rsidRPr="0035791A" w:rsidR="006D422C">
        <w:rPr>
          <w:rFonts w:ascii="Times New Roman" w:hAnsi="Times New Roman" w:cs="Times New Roman"/>
          <w:i/>
          <w:iCs/>
          <w:sz w:val="24"/>
          <w:szCs w:val="24"/>
        </w:rPr>
        <w:t xml:space="preserve">waarmee </w:t>
      </w:r>
      <w:r w:rsidRPr="0035791A" w:rsidR="00DD39F1">
        <w:rPr>
          <w:rFonts w:ascii="Times New Roman" w:hAnsi="Times New Roman" w:cs="Times New Roman"/>
          <w:i/>
          <w:iCs/>
          <w:sz w:val="24"/>
          <w:szCs w:val="24"/>
        </w:rPr>
        <w:t>de zeggenschap kan worden vastgesteld en</w:t>
      </w:r>
      <w:r w:rsidRPr="0035791A" w:rsidR="00AE7225">
        <w:rPr>
          <w:rFonts w:ascii="Times New Roman" w:hAnsi="Times New Roman" w:cs="Times New Roman"/>
          <w:i/>
          <w:iCs/>
          <w:sz w:val="24"/>
          <w:szCs w:val="24"/>
        </w:rPr>
        <w:t xml:space="preserve"> </w:t>
      </w:r>
      <w:r w:rsidRPr="0035791A" w:rsidR="006D422C">
        <w:rPr>
          <w:rFonts w:ascii="Times New Roman" w:hAnsi="Times New Roman" w:cs="Times New Roman"/>
          <w:i/>
          <w:iCs/>
          <w:sz w:val="24"/>
          <w:szCs w:val="24"/>
        </w:rPr>
        <w:t xml:space="preserve">waarmee </w:t>
      </w:r>
      <w:r w:rsidRPr="0035791A" w:rsidR="00DD39F1">
        <w:rPr>
          <w:rFonts w:ascii="Times New Roman" w:hAnsi="Times New Roman" w:cs="Times New Roman"/>
          <w:i/>
          <w:iCs/>
          <w:sz w:val="24"/>
          <w:szCs w:val="24"/>
        </w:rPr>
        <w:t>ervoor kan worden gezorgd dat het elektronisch bestand zijn integriteit behoudt om in de praktijk met elektronische cognossementen te kunnen werken.</w:t>
      </w:r>
    </w:p>
    <w:p w:rsidRPr="0035791A" w:rsidR="00254D1E" w:rsidP="00AA632D" w:rsidRDefault="00AA7746" w14:paraId="209D790D" w14:textId="6FFBAF6C">
      <w:pPr>
        <w:spacing w:after="0" w:line="360" w:lineRule="auto"/>
        <w:rPr>
          <w:rFonts w:ascii="Times New Roman" w:hAnsi="Times New Roman" w:cs="Times New Roman"/>
          <w:i/>
          <w:iCs/>
          <w:sz w:val="24"/>
          <w:szCs w:val="24"/>
        </w:rPr>
      </w:pPr>
      <w:r w:rsidRPr="0035791A">
        <w:rPr>
          <w:rFonts w:ascii="Times New Roman" w:hAnsi="Times New Roman" w:cs="Times New Roman"/>
          <w:sz w:val="24"/>
          <w:szCs w:val="24"/>
        </w:rPr>
        <w:t xml:space="preserve">In de praktijk wordt </w:t>
      </w:r>
      <w:r w:rsidRPr="0035791A" w:rsidR="00E02D63">
        <w:rPr>
          <w:rFonts w:ascii="Times New Roman" w:hAnsi="Times New Roman" w:cs="Times New Roman"/>
          <w:sz w:val="24"/>
          <w:szCs w:val="24"/>
        </w:rPr>
        <w:t xml:space="preserve">– buiten Nederland - </w:t>
      </w:r>
      <w:r w:rsidRPr="0035791A">
        <w:rPr>
          <w:rFonts w:ascii="Times New Roman" w:hAnsi="Times New Roman" w:cs="Times New Roman"/>
          <w:sz w:val="24"/>
          <w:szCs w:val="24"/>
        </w:rPr>
        <w:t>al gebruik gemaakt van elektronische cognossementen</w:t>
      </w:r>
      <w:r w:rsidRPr="0035791A" w:rsidR="00BD1C1A">
        <w:rPr>
          <w:rFonts w:ascii="Times New Roman" w:hAnsi="Times New Roman" w:cs="Times New Roman"/>
          <w:sz w:val="24"/>
          <w:szCs w:val="24"/>
        </w:rPr>
        <w:t xml:space="preserve"> en zijn er al methoden ontwikkeld om</w:t>
      </w:r>
      <w:r w:rsidRPr="0035791A" w:rsidR="00711D53">
        <w:rPr>
          <w:rFonts w:ascii="Times New Roman" w:hAnsi="Times New Roman" w:cs="Times New Roman"/>
          <w:sz w:val="24"/>
          <w:szCs w:val="24"/>
        </w:rPr>
        <w:t xml:space="preserve"> aan de vereisten te voldoen</w:t>
      </w:r>
      <w:r w:rsidRPr="0035791A">
        <w:rPr>
          <w:rFonts w:ascii="Times New Roman" w:hAnsi="Times New Roman" w:cs="Times New Roman"/>
          <w:sz w:val="24"/>
          <w:szCs w:val="24"/>
        </w:rPr>
        <w:t xml:space="preserve">. </w:t>
      </w:r>
      <w:r w:rsidRPr="0035791A" w:rsidR="00711D53">
        <w:rPr>
          <w:rFonts w:ascii="Times New Roman" w:hAnsi="Times New Roman" w:cs="Times New Roman"/>
          <w:sz w:val="24"/>
          <w:szCs w:val="24"/>
        </w:rPr>
        <w:t xml:space="preserve">Zo zijn er al initiatieven ontwikkeld voor het gebruik van elektronische documenten, </w:t>
      </w:r>
      <w:r w:rsidRPr="0035791A">
        <w:rPr>
          <w:rFonts w:ascii="Times New Roman" w:hAnsi="Times New Roman" w:cs="Times New Roman"/>
          <w:sz w:val="24"/>
          <w:szCs w:val="24"/>
        </w:rPr>
        <w:t xml:space="preserve">zoals </w:t>
      </w:r>
      <w:r w:rsidRPr="0035791A" w:rsidR="004D1DDE">
        <w:rPr>
          <w:rFonts w:ascii="Times New Roman" w:hAnsi="Times New Roman" w:cs="Times New Roman"/>
          <w:sz w:val="24"/>
          <w:szCs w:val="24"/>
        </w:rPr>
        <w:t xml:space="preserve">Bolero (zie </w:t>
      </w:r>
      <w:r w:rsidRPr="0035791A">
        <w:rPr>
          <w:rFonts w:ascii="Times New Roman" w:hAnsi="Times New Roman" w:cs="Times New Roman"/>
          <w:sz w:val="24"/>
          <w:szCs w:val="24"/>
        </w:rPr>
        <w:t>https://www.bolero.net</w:t>
      </w:r>
      <w:r w:rsidRPr="0035791A" w:rsidR="004D1DDE">
        <w:rPr>
          <w:rFonts w:ascii="Times New Roman" w:hAnsi="Times New Roman" w:cs="Times New Roman"/>
          <w:sz w:val="24"/>
          <w:szCs w:val="24"/>
        </w:rPr>
        <w:t>)</w:t>
      </w:r>
      <w:r w:rsidRPr="0035791A">
        <w:rPr>
          <w:rFonts w:ascii="Times New Roman" w:hAnsi="Times New Roman" w:cs="Times New Roman"/>
          <w:sz w:val="24"/>
          <w:szCs w:val="24"/>
        </w:rPr>
        <w:t xml:space="preserve"> en</w:t>
      </w:r>
      <w:r w:rsidRPr="0035791A" w:rsidR="004D1DDE">
        <w:rPr>
          <w:rFonts w:ascii="Times New Roman" w:hAnsi="Times New Roman" w:cs="Times New Roman"/>
          <w:sz w:val="24"/>
          <w:szCs w:val="24"/>
        </w:rPr>
        <w:t xml:space="preserve"> ICE Digital Trade (zie https://www.essdocs.com). </w:t>
      </w:r>
      <w:r w:rsidRPr="0035791A" w:rsidR="00711D53">
        <w:rPr>
          <w:rFonts w:ascii="Times New Roman" w:hAnsi="Times New Roman" w:cs="Times New Roman"/>
          <w:sz w:val="24"/>
          <w:szCs w:val="24"/>
        </w:rPr>
        <w:t xml:space="preserve">Verder heeft </w:t>
      </w:r>
      <w:r w:rsidRPr="0035791A" w:rsidR="004D1DDE">
        <w:rPr>
          <w:rFonts w:ascii="Times New Roman" w:hAnsi="Times New Roman" w:cs="Times New Roman"/>
          <w:sz w:val="24"/>
          <w:szCs w:val="24"/>
        </w:rPr>
        <w:t>The International Group of Protection and Indemnity clubs (IGP&amp;I)</w:t>
      </w:r>
      <w:r w:rsidRPr="0035791A" w:rsidR="00711D53">
        <w:rPr>
          <w:rFonts w:ascii="Times New Roman" w:hAnsi="Times New Roman" w:cs="Times New Roman"/>
          <w:sz w:val="24"/>
          <w:szCs w:val="24"/>
        </w:rPr>
        <w:t xml:space="preserve"> al</w:t>
      </w:r>
      <w:r w:rsidRPr="0035791A" w:rsidR="004D1DDE">
        <w:rPr>
          <w:rFonts w:ascii="Times New Roman" w:hAnsi="Times New Roman" w:cs="Times New Roman"/>
          <w:sz w:val="24"/>
          <w:szCs w:val="24"/>
        </w:rPr>
        <w:t xml:space="preserve"> vereisten opgesteld voor het gebruik van elektronische cognossementen. De IGP&amp;I bestaat, kortgezegd, uit onderlinge verzekeraars die de aansprakelijkheid die voortvloeit uit het vervoer van goederen dekken. Zij heeft voorwaarden opgesteld en heeft een lijst opgesteld met systemen die aan de voorwaarden voldoen</w:t>
      </w:r>
      <w:r w:rsidRPr="0035791A" w:rsidR="00254D1E">
        <w:rPr>
          <w:rStyle w:val="Voetnootmarkering"/>
          <w:rFonts w:ascii="Times New Roman" w:hAnsi="Times New Roman" w:cs="Times New Roman"/>
          <w:sz w:val="24"/>
          <w:szCs w:val="24"/>
        </w:rPr>
        <w:footnoteReference w:id="3"/>
      </w:r>
      <w:r w:rsidRPr="0035791A" w:rsidR="004D1DDE">
        <w:rPr>
          <w:rFonts w:ascii="Times New Roman" w:hAnsi="Times New Roman" w:cs="Times New Roman"/>
          <w:sz w:val="24"/>
          <w:szCs w:val="24"/>
        </w:rPr>
        <w:t>.</w:t>
      </w:r>
      <w:r w:rsidRPr="0035791A" w:rsidR="004D040B">
        <w:rPr>
          <w:rFonts w:ascii="Times New Roman" w:hAnsi="Times New Roman" w:cs="Times New Roman"/>
          <w:sz w:val="24"/>
          <w:szCs w:val="24"/>
        </w:rPr>
        <w:t xml:space="preserve"> Er zijn dus</w:t>
      </w:r>
      <w:r w:rsidRPr="0035791A" w:rsidR="00254D1E">
        <w:rPr>
          <w:rFonts w:ascii="Times New Roman" w:hAnsi="Times New Roman" w:cs="Times New Roman"/>
          <w:sz w:val="24"/>
          <w:szCs w:val="24"/>
        </w:rPr>
        <w:t xml:space="preserve"> op dit moment al</w:t>
      </w:r>
      <w:r w:rsidRPr="0035791A" w:rsidR="004D040B">
        <w:rPr>
          <w:rFonts w:ascii="Times New Roman" w:hAnsi="Times New Roman" w:cs="Times New Roman"/>
          <w:sz w:val="24"/>
          <w:szCs w:val="24"/>
        </w:rPr>
        <w:t xml:space="preserve"> voldoende methodes beschikbaar om met een elektronisch cognossement te werken</w:t>
      </w:r>
      <w:r w:rsidRPr="0035791A" w:rsidR="00254D1E">
        <w:rPr>
          <w:rFonts w:ascii="Times New Roman" w:hAnsi="Times New Roman" w:cs="Times New Roman"/>
          <w:sz w:val="24"/>
          <w:szCs w:val="24"/>
        </w:rPr>
        <w:t xml:space="preserve"> en de verwachting is dat dit nog verder zal toenemen</w:t>
      </w:r>
      <w:r w:rsidRPr="0035791A" w:rsidR="00615AE1">
        <w:rPr>
          <w:rFonts w:ascii="Times New Roman" w:hAnsi="Times New Roman" w:cs="Times New Roman"/>
          <w:sz w:val="24"/>
          <w:szCs w:val="24"/>
        </w:rPr>
        <w:t xml:space="preserve"> als meer landen een regeling kennen voor elektronische cognossementen</w:t>
      </w:r>
      <w:r w:rsidRPr="0035791A" w:rsidR="004D040B">
        <w:rPr>
          <w:rFonts w:ascii="Times New Roman" w:hAnsi="Times New Roman" w:cs="Times New Roman"/>
          <w:sz w:val="24"/>
          <w:szCs w:val="24"/>
        </w:rPr>
        <w:t>.</w:t>
      </w:r>
      <w:r w:rsidRPr="0035791A" w:rsidR="00061143">
        <w:rPr>
          <w:rFonts w:ascii="Times New Roman" w:hAnsi="Times New Roman" w:cs="Times New Roman"/>
          <w:i/>
          <w:iCs/>
          <w:sz w:val="24"/>
          <w:szCs w:val="24"/>
        </w:rPr>
        <w:br/>
      </w:r>
      <w:r w:rsidRPr="0035791A" w:rsidR="00061143">
        <w:rPr>
          <w:rFonts w:ascii="Times New Roman" w:hAnsi="Times New Roman" w:cs="Times New Roman"/>
          <w:i/>
          <w:iCs/>
          <w:sz w:val="24"/>
          <w:szCs w:val="24"/>
        </w:rPr>
        <w:br/>
      </w:r>
      <w:r w:rsidRPr="0035791A" w:rsidR="00DD39F1">
        <w:rPr>
          <w:rFonts w:ascii="Times New Roman" w:hAnsi="Times New Roman" w:cs="Times New Roman"/>
          <w:i/>
          <w:iCs/>
          <w:sz w:val="24"/>
          <w:szCs w:val="24"/>
        </w:rPr>
        <w:t>Daarnaast lezen de leden van de CDA-fractie dat het eveneens aan de praktijk zal worden overgelaten op welke wijze bij juridische geschillen een elektronisch cognossement aan de rechter kan worden voorgelegd. De</w:t>
      </w:r>
      <w:r w:rsidRPr="0035791A" w:rsidR="00DA5542">
        <w:rPr>
          <w:rFonts w:ascii="Times New Roman" w:hAnsi="Times New Roman" w:cs="Times New Roman"/>
          <w:i/>
          <w:iCs/>
          <w:sz w:val="24"/>
          <w:szCs w:val="24"/>
        </w:rPr>
        <w:t>ze</w:t>
      </w:r>
      <w:r w:rsidRPr="0035791A" w:rsidR="00DD39F1">
        <w:rPr>
          <w:rFonts w:ascii="Times New Roman" w:hAnsi="Times New Roman" w:cs="Times New Roman"/>
          <w:i/>
          <w:iCs/>
          <w:sz w:val="24"/>
          <w:szCs w:val="24"/>
        </w:rPr>
        <w:t xml:space="preserve"> leden vragen aan de regering of in deze</w:t>
      </w:r>
      <w:r w:rsidRPr="0035791A" w:rsidR="00BC56CE">
        <w:rPr>
          <w:rFonts w:ascii="Times New Roman" w:hAnsi="Times New Roman" w:cs="Times New Roman"/>
          <w:i/>
          <w:iCs/>
          <w:sz w:val="24"/>
          <w:szCs w:val="24"/>
        </w:rPr>
        <w:t>n</w:t>
      </w:r>
      <w:r w:rsidRPr="0035791A" w:rsidR="00DD39F1">
        <w:rPr>
          <w:rFonts w:ascii="Times New Roman" w:hAnsi="Times New Roman" w:cs="Times New Roman"/>
          <w:i/>
          <w:iCs/>
          <w:sz w:val="24"/>
          <w:szCs w:val="24"/>
        </w:rPr>
        <w:t xml:space="preserve"> mogelijke problemen in de praktijk worden voorzi</w:t>
      </w:r>
      <w:r w:rsidRPr="0035791A" w:rsidR="00C12413">
        <w:rPr>
          <w:rFonts w:ascii="Times New Roman" w:hAnsi="Times New Roman" w:cs="Times New Roman"/>
          <w:i/>
          <w:iCs/>
          <w:sz w:val="24"/>
          <w:szCs w:val="24"/>
        </w:rPr>
        <w:t>e</w:t>
      </w:r>
      <w:r w:rsidRPr="0035791A" w:rsidR="00DD39F1">
        <w:rPr>
          <w:rFonts w:ascii="Times New Roman" w:hAnsi="Times New Roman" w:cs="Times New Roman"/>
          <w:i/>
          <w:iCs/>
          <w:sz w:val="24"/>
          <w:szCs w:val="24"/>
        </w:rPr>
        <w:t>n bij het voorleggen van elektronische cognossementen aan de rechter.</w:t>
      </w:r>
    </w:p>
    <w:p w:rsidRPr="0035791A" w:rsidR="00FF6A3A" w:rsidP="00864316" w:rsidRDefault="00615AE1" w14:paraId="4ED8DD7F" w14:textId="5EFF79D7">
      <w:pPr>
        <w:spacing w:after="0" w:line="360" w:lineRule="auto"/>
        <w:rPr>
          <w:rFonts w:ascii="Times New Roman" w:hAnsi="Times New Roman" w:cs="Times New Roman"/>
          <w:i/>
          <w:iCs/>
          <w:sz w:val="24"/>
          <w:szCs w:val="24"/>
        </w:rPr>
      </w:pPr>
      <w:r w:rsidRPr="0035791A">
        <w:rPr>
          <w:rFonts w:ascii="Times New Roman" w:hAnsi="Times New Roman" w:cs="Times New Roman"/>
          <w:sz w:val="24"/>
          <w:szCs w:val="24"/>
        </w:rPr>
        <w:t>Indien er een geschil ontstaat tussen partijen, geldt op grond van ar</w:t>
      </w:r>
      <w:r w:rsidRPr="0035791A" w:rsidR="00B7034E">
        <w:rPr>
          <w:rFonts w:ascii="Times New Roman" w:hAnsi="Times New Roman" w:cs="Times New Roman"/>
          <w:sz w:val="24"/>
          <w:szCs w:val="24"/>
        </w:rPr>
        <w:t xml:space="preserve">tikel 150 </w:t>
      </w:r>
      <w:r w:rsidRPr="0035791A">
        <w:rPr>
          <w:rFonts w:ascii="Times New Roman" w:hAnsi="Times New Roman" w:cs="Times New Roman"/>
          <w:sz w:val="24"/>
          <w:szCs w:val="24"/>
        </w:rPr>
        <w:t>van het Wetboek van Burgerlijke Rechtsvordering (</w:t>
      </w:r>
      <w:r w:rsidRPr="0035791A" w:rsidR="00B7034E">
        <w:rPr>
          <w:rFonts w:ascii="Times New Roman" w:hAnsi="Times New Roman" w:cs="Times New Roman"/>
          <w:sz w:val="24"/>
          <w:szCs w:val="24"/>
        </w:rPr>
        <w:t>Rv</w:t>
      </w:r>
      <w:r w:rsidRPr="0035791A">
        <w:rPr>
          <w:rFonts w:ascii="Times New Roman" w:hAnsi="Times New Roman" w:cs="Times New Roman"/>
          <w:sz w:val="24"/>
          <w:szCs w:val="24"/>
        </w:rPr>
        <w:t xml:space="preserve">) dat de partij die zich beroept op de rechtsgevolgen van door haar gestelde feiten of rechten, de bewijslast draagt van die feiten en rechten. Indien er een geschil ontstaat over wie de recht- en regelmatig houder van een elektronisch cognossement is, zal </w:t>
      </w:r>
      <w:r w:rsidRPr="0035791A" w:rsidR="00864316">
        <w:rPr>
          <w:rFonts w:ascii="Times New Roman" w:hAnsi="Times New Roman" w:cs="Times New Roman"/>
          <w:sz w:val="24"/>
          <w:szCs w:val="24"/>
        </w:rPr>
        <w:t>de partij</w:t>
      </w:r>
      <w:r w:rsidRPr="0035791A">
        <w:rPr>
          <w:rFonts w:ascii="Times New Roman" w:hAnsi="Times New Roman" w:cs="Times New Roman"/>
          <w:sz w:val="24"/>
          <w:szCs w:val="24"/>
        </w:rPr>
        <w:t xml:space="preserve"> die stelt dit te zijn, dit </w:t>
      </w:r>
      <w:r w:rsidRPr="0035791A" w:rsidR="00864316">
        <w:rPr>
          <w:rFonts w:ascii="Times New Roman" w:hAnsi="Times New Roman" w:cs="Times New Roman"/>
          <w:sz w:val="24"/>
          <w:szCs w:val="24"/>
        </w:rPr>
        <w:t xml:space="preserve">dus </w:t>
      </w:r>
      <w:r w:rsidRPr="0035791A">
        <w:rPr>
          <w:rFonts w:ascii="Times New Roman" w:hAnsi="Times New Roman" w:cs="Times New Roman"/>
          <w:sz w:val="24"/>
          <w:szCs w:val="24"/>
        </w:rPr>
        <w:t xml:space="preserve">ook moeten bewijzen. </w:t>
      </w:r>
      <w:r w:rsidRPr="0035791A" w:rsidR="0040517C">
        <w:rPr>
          <w:rFonts w:ascii="Times New Roman" w:hAnsi="Times New Roman" w:cs="Times New Roman"/>
          <w:sz w:val="24"/>
          <w:szCs w:val="24"/>
        </w:rPr>
        <w:t>Dit zou d</w:t>
      </w:r>
      <w:r w:rsidRPr="0035791A" w:rsidR="009F16EB">
        <w:rPr>
          <w:rFonts w:ascii="Times New Roman" w:hAnsi="Times New Roman" w:cs="Times New Roman"/>
          <w:sz w:val="24"/>
          <w:szCs w:val="24"/>
        </w:rPr>
        <w:t>i</w:t>
      </w:r>
      <w:r w:rsidRPr="0035791A" w:rsidR="0040517C">
        <w:rPr>
          <w:rFonts w:ascii="Times New Roman" w:hAnsi="Times New Roman" w:cs="Times New Roman"/>
          <w:sz w:val="24"/>
          <w:szCs w:val="24"/>
        </w:rPr>
        <w:t>e partij</w:t>
      </w:r>
      <w:r w:rsidRPr="0035791A" w:rsidR="00864316">
        <w:rPr>
          <w:rFonts w:ascii="Times New Roman" w:hAnsi="Times New Roman" w:cs="Times New Roman"/>
          <w:sz w:val="24"/>
          <w:szCs w:val="24"/>
        </w:rPr>
        <w:t xml:space="preserve"> kunnen doen door gegevens te overleggen uit het systeem dat wordt gebruikt. Het wetsvoorstel vereist o.a. dat een betrouwbare methode wordt gebruikt voor het vaststellen van de zeggenschap bij het gebruik van een elektronisch cognossement, waaruit volgt dat de recht- en regelmatige houder van een elektronisch cognossement de zeggenschap over het elektronisch bestand dient uit te kunnen oefenen. Hiervoor dient hij toegang te hebben tot de data die zijn neergelegd in het elektronisch bestand. Deze data k</w:t>
      </w:r>
      <w:r w:rsidRPr="0035791A" w:rsidR="00434C26">
        <w:rPr>
          <w:rFonts w:ascii="Times New Roman" w:hAnsi="Times New Roman" w:cs="Times New Roman"/>
          <w:sz w:val="24"/>
          <w:szCs w:val="24"/>
        </w:rPr>
        <w:t>unnen</w:t>
      </w:r>
      <w:r w:rsidRPr="0035791A" w:rsidR="00864316">
        <w:rPr>
          <w:rFonts w:ascii="Times New Roman" w:hAnsi="Times New Roman" w:cs="Times New Roman"/>
          <w:sz w:val="24"/>
          <w:szCs w:val="24"/>
        </w:rPr>
        <w:t xml:space="preserve"> dus ook in een procedure worden gebruikt om aan te tonen dat een partij de recht- en regelmatig houder is.</w:t>
      </w:r>
      <w:r w:rsidRPr="0035791A" w:rsidR="003B76C6">
        <w:rPr>
          <w:rFonts w:ascii="Times New Roman" w:hAnsi="Times New Roman" w:cs="Times New Roman"/>
          <w:sz w:val="24"/>
          <w:szCs w:val="24"/>
        </w:rPr>
        <w:t xml:space="preserve"> Dit is niet nieuw, want ook nu al krijgen rechters te maken met geschillen over elektronische </w:t>
      </w:r>
      <w:r w:rsidRPr="0035791A" w:rsidR="003B76C6">
        <w:rPr>
          <w:rFonts w:ascii="Times New Roman" w:hAnsi="Times New Roman" w:cs="Times New Roman"/>
          <w:sz w:val="24"/>
          <w:szCs w:val="24"/>
        </w:rPr>
        <w:lastRenderedPageBreak/>
        <w:t>stukken</w:t>
      </w:r>
      <w:r w:rsidRPr="0035791A" w:rsidR="00E02D63">
        <w:rPr>
          <w:rFonts w:ascii="Times New Roman" w:hAnsi="Times New Roman" w:cs="Times New Roman"/>
          <w:sz w:val="24"/>
          <w:szCs w:val="24"/>
        </w:rPr>
        <w:t>. Hierbij kan gedacht worden</w:t>
      </w:r>
      <w:r w:rsidRPr="0035791A" w:rsidR="003B76C6">
        <w:rPr>
          <w:rFonts w:ascii="Times New Roman" w:hAnsi="Times New Roman" w:cs="Times New Roman"/>
          <w:sz w:val="24"/>
          <w:szCs w:val="24"/>
        </w:rPr>
        <w:t xml:space="preserve"> aan een geschil over van wie een digitale handtekening </w:t>
      </w:r>
      <w:r w:rsidRPr="0035791A" w:rsidR="00A77364">
        <w:rPr>
          <w:rFonts w:ascii="Times New Roman" w:hAnsi="Times New Roman" w:cs="Times New Roman"/>
          <w:sz w:val="24"/>
          <w:szCs w:val="24"/>
        </w:rPr>
        <w:t xml:space="preserve">in een digitaal gesloten overeenkomst </w:t>
      </w:r>
      <w:r w:rsidRPr="0035791A" w:rsidR="003B76C6">
        <w:rPr>
          <w:rFonts w:ascii="Times New Roman" w:hAnsi="Times New Roman" w:cs="Times New Roman"/>
          <w:sz w:val="24"/>
          <w:szCs w:val="24"/>
        </w:rPr>
        <w:t>afkomstig is</w:t>
      </w:r>
      <w:r w:rsidRPr="0035791A" w:rsidR="003B76C6">
        <w:rPr>
          <w:rStyle w:val="Voetnootmarkering"/>
          <w:rFonts w:ascii="Times New Roman" w:hAnsi="Times New Roman" w:cs="Times New Roman"/>
          <w:sz w:val="24"/>
          <w:szCs w:val="24"/>
        </w:rPr>
        <w:footnoteReference w:id="4"/>
      </w:r>
      <w:r w:rsidRPr="0035791A" w:rsidR="00A77364">
        <w:rPr>
          <w:rFonts w:ascii="Times New Roman" w:hAnsi="Times New Roman" w:cs="Times New Roman"/>
          <w:sz w:val="24"/>
          <w:szCs w:val="24"/>
        </w:rPr>
        <w:t>. Bovendien wil ik erop wijzen dat indien er in de praktijk toch</w:t>
      </w:r>
      <w:r w:rsidRPr="0035791A" w:rsidR="00FC5E02">
        <w:rPr>
          <w:rFonts w:ascii="Times New Roman" w:hAnsi="Times New Roman" w:cs="Times New Roman"/>
          <w:sz w:val="24"/>
          <w:szCs w:val="24"/>
        </w:rPr>
        <w:t xml:space="preserve"> eventueel</w:t>
      </w:r>
      <w:r w:rsidRPr="0035791A" w:rsidR="00A77364">
        <w:rPr>
          <w:rFonts w:ascii="Times New Roman" w:hAnsi="Times New Roman" w:cs="Times New Roman"/>
          <w:sz w:val="24"/>
          <w:szCs w:val="24"/>
        </w:rPr>
        <w:t xml:space="preserve"> problemen ontstaan voor de rechtspraak</w:t>
      </w:r>
      <w:r w:rsidRPr="0035791A" w:rsidR="00FC5E02">
        <w:rPr>
          <w:rFonts w:ascii="Times New Roman" w:hAnsi="Times New Roman" w:cs="Times New Roman"/>
          <w:sz w:val="24"/>
          <w:szCs w:val="24"/>
        </w:rPr>
        <w:t>, deze in de evaluatie, die na drie jaar plaatsvindt, naar boven zullen komen en er dan naar een oplossing zal worden gekeken. Maar zoals gezegd, verwacht ik dat de huidige regels voldoen.</w:t>
      </w:r>
      <w:r w:rsidRPr="0035791A" w:rsidR="00061143">
        <w:rPr>
          <w:rFonts w:ascii="Times New Roman" w:hAnsi="Times New Roman" w:cs="Times New Roman"/>
          <w:bCs/>
          <w:i/>
          <w:iCs/>
          <w:sz w:val="24"/>
          <w:szCs w:val="24"/>
        </w:rPr>
        <w:br/>
      </w:r>
      <w:r w:rsidRPr="0035791A" w:rsidR="00061143">
        <w:rPr>
          <w:rFonts w:ascii="Times New Roman" w:hAnsi="Times New Roman" w:cs="Times New Roman"/>
          <w:bCs/>
          <w:i/>
          <w:iCs/>
          <w:sz w:val="24"/>
          <w:szCs w:val="24"/>
        </w:rPr>
        <w:br/>
      </w:r>
      <w:r w:rsidRPr="0035791A" w:rsidR="00317098">
        <w:rPr>
          <w:rFonts w:ascii="Times New Roman" w:hAnsi="Times New Roman" w:cs="Times New Roman"/>
          <w:bCs/>
          <w:i/>
          <w:iCs/>
          <w:sz w:val="24"/>
          <w:szCs w:val="24"/>
        </w:rPr>
        <w:t>4.</w:t>
      </w:r>
      <w:r w:rsidRPr="0035791A" w:rsidR="00061143">
        <w:rPr>
          <w:rFonts w:ascii="Times New Roman" w:hAnsi="Times New Roman" w:cs="Times New Roman"/>
          <w:bCs/>
          <w:i/>
          <w:iCs/>
          <w:sz w:val="24"/>
          <w:szCs w:val="24"/>
        </w:rPr>
        <w:t>2</w:t>
      </w:r>
      <w:r w:rsidRPr="0035791A" w:rsidR="00317098">
        <w:rPr>
          <w:rFonts w:ascii="Times New Roman" w:hAnsi="Times New Roman" w:cs="Times New Roman"/>
          <w:bCs/>
          <w:i/>
          <w:iCs/>
          <w:sz w:val="24"/>
          <w:szCs w:val="24"/>
        </w:rPr>
        <w:t xml:space="preserve"> Financiële gevolgen</w:t>
      </w:r>
      <w:r w:rsidRPr="0035791A" w:rsidR="00061143">
        <w:rPr>
          <w:rFonts w:ascii="Times New Roman" w:hAnsi="Times New Roman" w:cs="Times New Roman"/>
          <w:bCs/>
          <w:i/>
          <w:iCs/>
          <w:sz w:val="24"/>
          <w:szCs w:val="24"/>
        </w:rPr>
        <w:br/>
      </w:r>
      <w:r w:rsidRPr="0035791A" w:rsidR="00061143">
        <w:rPr>
          <w:rFonts w:ascii="Times New Roman" w:hAnsi="Times New Roman" w:cs="Times New Roman"/>
          <w:bCs/>
          <w:i/>
          <w:iCs/>
          <w:sz w:val="24"/>
          <w:szCs w:val="24"/>
        </w:rPr>
        <w:br/>
      </w:r>
      <w:r w:rsidRPr="0035791A" w:rsidR="00B33786">
        <w:rPr>
          <w:rFonts w:ascii="Times New Roman" w:hAnsi="Times New Roman" w:cs="Times New Roman"/>
          <w:i/>
          <w:iCs/>
          <w:sz w:val="24"/>
          <w:szCs w:val="24"/>
        </w:rPr>
        <w:t xml:space="preserve">De leden van de CDA-fractie lezen dat het gebruik van een elektronisch cognossement niet verplicht is. Daarnaast lezen deze leden dat er kosten gemoeid gaan met de ontwikkeling van een elektronisch cognossement voor de partijen die daar gebruik van </w:t>
      </w:r>
      <w:r w:rsidRPr="0035791A" w:rsidR="00E66B28">
        <w:rPr>
          <w:rFonts w:ascii="Times New Roman" w:hAnsi="Times New Roman" w:cs="Times New Roman"/>
          <w:i/>
          <w:iCs/>
          <w:sz w:val="24"/>
          <w:szCs w:val="24"/>
        </w:rPr>
        <w:t xml:space="preserve">wensen </w:t>
      </w:r>
      <w:r w:rsidRPr="0035791A" w:rsidR="00B33786">
        <w:rPr>
          <w:rFonts w:ascii="Times New Roman" w:hAnsi="Times New Roman" w:cs="Times New Roman"/>
          <w:i/>
          <w:iCs/>
          <w:sz w:val="24"/>
          <w:szCs w:val="24"/>
        </w:rPr>
        <w:t>te maken en dat bij de evaluatie kan worden meegenomen of die kosten een belemmering blijken te zijn voor de keuze voor een elektronisch cognossement. Daarom vragen de</w:t>
      </w:r>
      <w:r w:rsidRPr="0035791A" w:rsidR="00EA6EBD">
        <w:rPr>
          <w:rFonts w:ascii="Times New Roman" w:hAnsi="Times New Roman" w:cs="Times New Roman"/>
          <w:i/>
          <w:iCs/>
          <w:sz w:val="24"/>
          <w:szCs w:val="24"/>
        </w:rPr>
        <w:t>ze</w:t>
      </w:r>
      <w:r w:rsidRPr="0035791A" w:rsidR="00B33786">
        <w:rPr>
          <w:rFonts w:ascii="Times New Roman" w:hAnsi="Times New Roman" w:cs="Times New Roman"/>
          <w:i/>
          <w:iCs/>
          <w:sz w:val="24"/>
          <w:szCs w:val="24"/>
        </w:rPr>
        <w:t xml:space="preserve"> leden of de regering bereid is om het gebruik van een elektronisch cognossement aan te moedigen in de praktijk</w:t>
      </w:r>
      <w:r w:rsidRPr="0035791A" w:rsidR="006F3638">
        <w:rPr>
          <w:rFonts w:ascii="Times New Roman" w:hAnsi="Times New Roman" w:cs="Times New Roman"/>
          <w:i/>
          <w:iCs/>
          <w:sz w:val="24"/>
          <w:szCs w:val="24"/>
        </w:rPr>
        <w:t xml:space="preserve"> e</w:t>
      </w:r>
      <w:r w:rsidRPr="0035791A" w:rsidR="00B33786">
        <w:rPr>
          <w:rFonts w:ascii="Times New Roman" w:hAnsi="Times New Roman" w:cs="Times New Roman"/>
          <w:i/>
          <w:iCs/>
          <w:sz w:val="24"/>
          <w:szCs w:val="24"/>
        </w:rPr>
        <w:t>n</w:t>
      </w:r>
      <w:r w:rsidRPr="0035791A" w:rsidR="004F1597">
        <w:rPr>
          <w:rFonts w:ascii="Times New Roman" w:hAnsi="Times New Roman" w:cs="Times New Roman"/>
          <w:i/>
          <w:iCs/>
          <w:sz w:val="24"/>
          <w:szCs w:val="24"/>
        </w:rPr>
        <w:t>,</w:t>
      </w:r>
      <w:r w:rsidRPr="0035791A" w:rsidR="00B33786">
        <w:rPr>
          <w:rFonts w:ascii="Times New Roman" w:hAnsi="Times New Roman" w:cs="Times New Roman"/>
          <w:i/>
          <w:iCs/>
          <w:sz w:val="24"/>
          <w:szCs w:val="24"/>
        </w:rPr>
        <w:t xml:space="preserve"> zo ja, hoe de regering dit van plan is.</w:t>
      </w:r>
    </w:p>
    <w:p w:rsidRPr="0035791A" w:rsidR="00DF6734" w:rsidP="00864316" w:rsidRDefault="0078147C" w14:paraId="66E190D2" w14:textId="7EB59F53">
      <w:pPr>
        <w:spacing w:after="0" w:line="360" w:lineRule="auto"/>
        <w:rPr>
          <w:rFonts w:ascii="Times New Roman" w:hAnsi="Times New Roman" w:cs="Times New Roman"/>
          <w:bCs/>
          <w:iCs/>
          <w:sz w:val="24"/>
          <w:szCs w:val="24"/>
        </w:rPr>
      </w:pPr>
      <w:r w:rsidRPr="0035791A">
        <w:rPr>
          <w:rFonts w:ascii="Times New Roman" w:hAnsi="Times New Roman" w:cs="Times New Roman"/>
          <w:sz w:val="24"/>
          <w:szCs w:val="24"/>
        </w:rPr>
        <w:t xml:space="preserve">Het klopt dat er </w:t>
      </w:r>
      <w:r w:rsidRPr="0035791A" w:rsidR="00FB58E8">
        <w:rPr>
          <w:rFonts w:ascii="Times New Roman" w:hAnsi="Times New Roman" w:cs="Times New Roman"/>
          <w:sz w:val="24"/>
          <w:szCs w:val="24"/>
        </w:rPr>
        <w:t xml:space="preserve">(zeer waarschijnlijk) </w:t>
      </w:r>
      <w:r w:rsidRPr="0035791A">
        <w:rPr>
          <w:rFonts w:ascii="Times New Roman" w:hAnsi="Times New Roman" w:cs="Times New Roman"/>
          <w:sz w:val="24"/>
          <w:szCs w:val="24"/>
        </w:rPr>
        <w:t xml:space="preserve">moet worden betaald om gebruik te maken van een van de initiatieven voor het gebruik van een elektronisch cognossement. Dit is ook logisch, omdat er nu eenmaal ontwikkelkosten zijn gemaakt die worden doorberekend aan de klanten. Daar staat echter tegenover dat het gebruik van een elektronisch cognossement veel kosten </w:t>
      </w:r>
      <w:r w:rsidRPr="0035791A" w:rsidR="00F56CF4">
        <w:rPr>
          <w:rFonts w:ascii="Times New Roman" w:hAnsi="Times New Roman" w:cs="Times New Roman"/>
          <w:sz w:val="24"/>
          <w:szCs w:val="24"/>
        </w:rPr>
        <w:t>bespaart</w:t>
      </w:r>
      <w:r w:rsidRPr="0035791A">
        <w:rPr>
          <w:rFonts w:ascii="Times New Roman" w:hAnsi="Times New Roman" w:cs="Times New Roman"/>
          <w:sz w:val="24"/>
          <w:szCs w:val="24"/>
        </w:rPr>
        <w:t xml:space="preserve">. Het cognossement hoeft namelijk niet meer fysiek te worden doorgegeven in de handelsketen. </w:t>
      </w:r>
      <w:r w:rsidRPr="0035791A" w:rsidR="00461FBD">
        <w:rPr>
          <w:rFonts w:ascii="Times New Roman" w:hAnsi="Times New Roman" w:cs="Times New Roman"/>
          <w:sz w:val="24"/>
          <w:szCs w:val="24"/>
        </w:rPr>
        <w:t xml:space="preserve">Uit een studie volgt dat als er alleen nog maar gebruik wordt gemaakt van elektronische cognossementen, dit kan zorgen voor een besparing van in totaal circa 6,5 </w:t>
      </w:r>
      <w:r w:rsidRPr="0035791A" w:rsidR="00F56CF4">
        <w:rPr>
          <w:rFonts w:ascii="Times New Roman" w:hAnsi="Times New Roman" w:cs="Times New Roman"/>
          <w:sz w:val="24"/>
          <w:szCs w:val="24"/>
        </w:rPr>
        <w:t xml:space="preserve">miljard </w:t>
      </w:r>
      <w:r w:rsidRPr="0035791A" w:rsidR="00461FBD">
        <w:rPr>
          <w:rFonts w:ascii="Times New Roman" w:hAnsi="Times New Roman" w:cs="Times New Roman"/>
          <w:sz w:val="24"/>
          <w:szCs w:val="24"/>
        </w:rPr>
        <w:t>euro</w:t>
      </w:r>
      <w:r w:rsidRPr="0035791A" w:rsidR="008402A6">
        <w:rPr>
          <w:rFonts w:ascii="Times New Roman" w:hAnsi="Times New Roman" w:cs="Times New Roman"/>
          <w:sz w:val="24"/>
          <w:szCs w:val="24"/>
        </w:rPr>
        <w:t xml:space="preserve"> wereldwijd</w:t>
      </w:r>
      <w:r w:rsidRPr="0035791A" w:rsidR="00461FBD">
        <w:rPr>
          <w:rFonts w:ascii="Times New Roman" w:hAnsi="Times New Roman" w:cs="Times New Roman"/>
          <w:sz w:val="24"/>
          <w:szCs w:val="24"/>
        </w:rPr>
        <w:t>.</w:t>
      </w:r>
      <w:r w:rsidRPr="0035791A" w:rsidR="00461FBD">
        <w:rPr>
          <w:rStyle w:val="Voetnootmarkering"/>
          <w:rFonts w:ascii="Times New Roman" w:hAnsi="Times New Roman" w:cs="Times New Roman"/>
          <w:sz w:val="24"/>
          <w:szCs w:val="24"/>
        </w:rPr>
        <w:footnoteReference w:id="5"/>
      </w:r>
      <w:r w:rsidRPr="0035791A" w:rsidR="00461FBD">
        <w:rPr>
          <w:rFonts w:ascii="Times New Roman" w:hAnsi="Times New Roman" w:cs="Times New Roman"/>
          <w:sz w:val="24"/>
          <w:szCs w:val="24"/>
        </w:rPr>
        <w:t xml:space="preserve"> In dit geval zullen de baten dus zeer waarschijnlijk groter zijn dan de kosten</w:t>
      </w:r>
      <w:r w:rsidRPr="0035791A" w:rsidR="003768DE">
        <w:rPr>
          <w:rFonts w:ascii="Times New Roman" w:hAnsi="Times New Roman" w:cs="Times New Roman"/>
          <w:sz w:val="24"/>
          <w:szCs w:val="24"/>
        </w:rPr>
        <w:t xml:space="preserve"> en zullen de </w:t>
      </w:r>
      <w:r w:rsidRPr="0035791A" w:rsidR="00AA10C6">
        <w:rPr>
          <w:rFonts w:ascii="Times New Roman" w:hAnsi="Times New Roman" w:cs="Times New Roman"/>
          <w:sz w:val="24"/>
          <w:szCs w:val="24"/>
        </w:rPr>
        <w:t>(</w:t>
      </w:r>
      <w:r w:rsidRPr="0035791A" w:rsidR="003768DE">
        <w:rPr>
          <w:rFonts w:ascii="Times New Roman" w:hAnsi="Times New Roman" w:cs="Times New Roman"/>
          <w:sz w:val="24"/>
          <w:szCs w:val="24"/>
        </w:rPr>
        <w:t>ontwikkel</w:t>
      </w:r>
      <w:r w:rsidRPr="0035791A" w:rsidR="00AA10C6">
        <w:rPr>
          <w:rFonts w:ascii="Times New Roman" w:hAnsi="Times New Roman" w:cs="Times New Roman"/>
          <w:sz w:val="24"/>
          <w:szCs w:val="24"/>
        </w:rPr>
        <w:t>)</w:t>
      </w:r>
      <w:r w:rsidRPr="0035791A" w:rsidR="003768DE">
        <w:rPr>
          <w:rFonts w:ascii="Times New Roman" w:hAnsi="Times New Roman" w:cs="Times New Roman"/>
          <w:sz w:val="24"/>
          <w:szCs w:val="24"/>
        </w:rPr>
        <w:t>kosten naar verwachting niet als een grote belemmering worden ervaren. D</w:t>
      </w:r>
      <w:r w:rsidRPr="0035791A" w:rsidR="009F16EB">
        <w:rPr>
          <w:rFonts w:ascii="Times New Roman" w:hAnsi="Times New Roman" w:cs="Times New Roman"/>
          <w:sz w:val="24"/>
          <w:szCs w:val="24"/>
        </w:rPr>
        <w:t>aarbij w</w:t>
      </w:r>
      <w:r w:rsidRPr="0035791A" w:rsidR="00EF5652">
        <w:rPr>
          <w:rFonts w:ascii="Times New Roman" w:hAnsi="Times New Roman" w:cs="Times New Roman"/>
          <w:sz w:val="24"/>
          <w:szCs w:val="24"/>
        </w:rPr>
        <w:t>il ik er</w:t>
      </w:r>
      <w:r w:rsidRPr="0035791A" w:rsidR="009F16EB">
        <w:rPr>
          <w:rFonts w:ascii="Times New Roman" w:hAnsi="Times New Roman" w:cs="Times New Roman"/>
          <w:sz w:val="24"/>
          <w:szCs w:val="24"/>
        </w:rPr>
        <w:t xml:space="preserve"> ook </w:t>
      </w:r>
      <w:r w:rsidRPr="0035791A" w:rsidR="00EF5652">
        <w:rPr>
          <w:rFonts w:ascii="Times New Roman" w:hAnsi="Times New Roman" w:cs="Times New Roman"/>
          <w:sz w:val="24"/>
          <w:szCs w:val="24"/>
        </w:rPr>
        <w:t xml:space="preserve">op wijzen dat het wetsvoorstel het gebruik van elektronische cognossementen niet verplicht, maar het partijen de mogelijkheid biedt om gebruik te maken van een elektronisch cognossement. </w:t>
      </w:r>
      <w:r w:rsidRPr="0035791A" w:rsidR="009F16EB">
        <w:rPr>
          <w:rFonts w:ascii="Times New Roman" w:hAnsi="Times New Roman" w:cs="Times New Roman"/>
          <w:sz w:val="24"/>
          <w:szCs w:val="24"/>
        </w:rPr>
        <w:t>Wel deel ik u</w:t>
      </w:r>
      <w:r w:rsidRPr="0035791A" w:rsidR="00EF5652">
        <w:rPr>
          <w:rFonts w:ascii="Times New Roman" w:hAnsi="Times New Roman" w:cs="Times New Roman"/>
          <w:sz w:val="24"/>
          <w:szCs w:val="24"/>
        </w:rPr>
        <w:t xml:space="preserve">iteraard uw mening dat het gebruik van elektronische cognossementen moet worden aangemoedigd. Dit wetsvoorstel zorgt hiervoor door een wettelijke basis te bieden. Verder </w:t>
      </w:r>
      <w:r w:rsidRPr="0035791A" w:rsidR="00D85207">
        <w:rPr>
          <w:rFonts w:ascii="Times New Roman" w:hAnsi="Times New Roman" w:cs="Times New Roman"/>
          <w:sz w:val="24"/>
          <w:szCs w:val="24"/>
        </w:rPr>
        <w:t>zet</w:t>
      </w:r>
      <w:r w:rsidRPr="0035791A" w:rsidR="008402A6">
        <w:rPr>
          <w:rFonts w:ascii="Times New Roman" w:hAnsi="Times New Roman" w:cs="Times New Roman"/>
          <w:sz w:val="24"/>
          <w:szCs w:val="24"/>
        </w:rPr>
        <w:t xml:space="preserve"> de Minister </w:t>
      </w:r>
      <w:r w:rsidRPr="0035791A" w:rsidR="00EF5652">
        <w:rPr>
          <w:rFonts w:ascii="Times New Roman" w:hAnsi="Times New Roman" w:cs="Times New Roman"/>
          <w:sz w:val="24"/>
          <w:szCs w:val="24"/>
        </w:rPr>
        <w:t xml:space="preserve">van Infrastructuur en Waterstaat </w:t>
      </w:r>
      <w:r w:rsidRPr="0035791A" w:rsidR="00D85207">
        <w:rPr>
          <w:rFonts w:ascii="Times New Roman" w:hAnsi="Times New Roman" w:cs="Times New Roman"/>
          <w:sz w:val="24"/>
          <w:szCs w:val="24"/>
        </w:rPr>
        <w:t xml:space="preserve">zich via de Digitale Transport Strategie goederenvervoer (DTS) in om alle data rondom het goederenvervoer te digitaliseren. </w:t>
      </w:r>
      <w:r w:rsidRPr="0035791A" w:rsidR="00DF6734">
        <w:rPr>
          <w:rFonts w:ascii="Times New Roman" w:hAnsi="Times New Roman" w:cs="Times New Roman"/>
          <w:bCs/>
          <w:iCs/>
          <w:sz w:val="24"/>
          <w:szCs w:val="24"/>
        </w:rPr>
        <w:t xml:space="preserve">Ook is Nederland met het Verenigd Koninkrijk </w:t>
      </w:r>
      <w:r w:rsidRPr="0035791A" w:rsidR="00DF6734">
        <w:rPr>
          <w:rFonts w:ascii="Times New Roman" w:hAnsi="Times New Roman" w:cs="Times New Roman"/>
          <w:bCs/>
          <w:iCs/>
          <w:sz w:val="24"/>
          <w:szCs w:val="24"/>
        </w:rPr>
        <w:lastRenderedPageBreak/>
        <w:t>en Singapore bezig om pilots op te zetten gericht op het gebruik van elektronische cognossementen. Dit zijn voorbeelden van lopende initiatieven die het gebruik van elektronische documenten, waaronder cognossementen, aanmoedigen.</w:t>
      </w:r>
    </w:p>
    <w:p w:rsidRPr="0035791A" w:rsidR="00700030" w:rsidP="00864316" w:rsidRDefault="00061143" w14:paraId="40ADAF93" w14:textId="4EA68FA5">
      <w:pPr>
        <w:spacing w:after="0" w:line="360" w:lineRule="auto"/>
        <w:rPr>
          <w:rFonts w:ascii="Times New Roman" w:hAnsi="Times New Roman" w:cs="Times New Roman"/>
          <w:i/>
          <w:iCs/>
          <w:sz w:val="24"/>
          <w:szCs w:val="24"/>
        </w:rPr>
      </w:pPr>
      <w:r w:rsidRPr="0035791A">
        <w:rPr>
          <w:rFonts w:ascii="Times New Roman" w:hAnsi="Times New Roman" w:cs="Times New Roman"/>
          <w:bCs/>
          <w:iCs/>
          <w:sz w:val="24"/>
          <w:szCs w:val="24"/>
        </w:rPr>
        <w:br/>
      </w:r>
      <w:r w:rsidRPr="0035791A">
        <w:rPr>
          <w:rFonts w:ascii="Times New Roman" w:hAnsi="Times New Roman" w:cs="Times New Roman"/>
          <w:b/>
          <w:bCs/>
          <w:sz w:val="24"/>
          <w:szCs w:val="24"/>
        </w:rPr>
        <w:t>5</w:t>
      </w:r>
      <w:r w:rsidRPr="0035791A" w:rsidR="00317098">
        <w:rPr>
          <w:rFonts w:ascii="Times New Roman" w:hAnsi="Times New Roman" w:cs="Times New Roman"/>
          <w:b/>
          <w:bCs/>
          <w:sz w:val="24"/>
          <w:szCs w:val="24"/>
        </w:rPr>
        <w:t>. Overgangsrecht en inwerkingtreding</w:t>
      </w:r>
      <w:r w:rsidRPr="0035791A">
        <w:rPr>
          <w:rFonts w:ascii="Times New Roman" w:hAnsi="Times New Roman" w:cs="Times New Roman"/>
          <w:b/>
          <w:bCs/>
          <w:sz w:val="24"/>
          <w:szCs w:val="24"/>
        </w:rPr>
        <w:br/>
      </w:r>
      <w:r w:rsidRPr="0035791A">
        <w:rPr>
          <w:rFonts w:ascii="Times New Roman" w:hAnsi="Times New Roman" w:cs="Times New Roman"/>
          <w:b/>
          <w:bCs/>
          <w:sz w:val="24"/>
          <w:szCs w:val="24"/>
        </w:rPr>
        <w:br/>
      </w:r>
      <w:r w:rsidRPr="0035791A" w:rsidR="00DD39F1">
        <w:rPr>
          <w:rFonts w:ascii="Times New Roman" w:hAnsi="Times New Roman" w:cs="Times New Roman"/>
          <w:i/>
          <w:iCs/>
          <w:sz w:val="24"/>
          <w:szCs w:val="24"/>
        </w:rPr>
        <w:t>De leden van de VVD-fractie vragen ter verduidelijking in hoeverre elektronische cognossementen die zijn afgegeven voor de inwerkingtreding van het wetsvoorstel</w:t>
      </w:r>
      <w:r w:rsidRPr="0035791A" w:rsidR="00861EF2">
        <w:rPr>
          <w:rFonts w:ascii="Times New Roman" w:hAnsi="Times New Roman" w:cs="Times New Roman"/>
          <w:i/>
          <w:iCs/>
          <w:sz w:val="24"/>
          <w:szCs w:val="24"/>
        </w:rPr>
        <w:t>,</w:t>
      </w:r>
      <w:r w:rsidRPr="0035791A" w:rsidR="00DD39F1">
        <w:rPr>
          <w:rFonts w:ascii="Times New Roman" w:hAnsi="Times New Roman" w:cs="Times New Roman"/>
          <w:i/>
          <w:iCs/>
          <w:sz w:val="24"/>
          <w:szCs w:val="24"/>
        </w:rPr>
        <w:t xml:space="preserve"> onder de werking van het wetsvoorstel vallen en of is geïnventariseerd bij partijen in het veld</w:t>
      </w:r>
      <w:r w:rsidRPr="0035791A" w:rsidR="005066ED">
        <w:rPr>
          <w:rFonts w:ascii="Times New Roman" w:hAnsi="Times New Roman" w:cs="Times New Roman"/>
          <w:i/>
          <w:iCs/>
          <w:sz w:val="24"/>
          <w:szCs w:val="24"/>
        </w:rPr>
        <w:t>,</w:t>
      </w:r>
      <w:r w:rsidRPr="0035791A" w:rsidR="00DD39F1">
        <w:rPr>
          <w:rFonts w:ascii="Times New Roman" w:hAnsi="Times New Roman" w:cs="Times New Roman"/>
          <w:i/>
          <w:iCs/>
          <w:sz w:val="24"/>
          <w:szCs w:val="24"/>
        </w:rPr>
        <w:t xml:space="preserve"> zoals de </w:t>
      </w:r>
      <w:r w:rsidRPr="0035791A" w:rsidR="00C70111">
        <w:rPr>
          <w:rFonts w:ascii="Times New Roman" w:hAnsi="Times New Roman" w:cs="Times New Roman"/>
          <w:i/>
          <w:iCs/>
          <w:sz w:val="24"/>
          <w:szCs w:val="24"/>
        </w:rPr>
        <w:t>Koninklijke Vereniging van Nederlandse Reders</w:t>
      </w:r>
      <w:r w:rsidRPr="0035791A" w:rsidR="005066ED">
        <w:rPr>
          <w:rFonts w:ascii="Times New Roman" w:hAnsi="Times New Roman" w:cs="Times New Roman"/>
          <w:i/>
          <w:iCs/>
          <w:sz w:val="24"/>
          <w:szCs w:val="24"/>
        </w:rPr>
        <w:t>,</w:t>
      </w:r>
      <w:r w:rsidRPr="0035791A" w:rsidR="00DD39F1">
        <w:rPr>
          <w:rFonts w:ascii="Times New Roman" w:hAnsi="Times New Roman" w:cs="Times New Roman"/>
          <w:i/>
          <w:iCs/>
          <w:sz w:val="24"/>
          <w:szCs w:val="24"/>
        </w:rPr>
        <w:t xml:space="preserve"> wat in de rechtspraktijk nodig is met betrekking tot het overgangsrecht.</w:t>
      </w:r>
    </w:p>
    <w:p w:rsidRPr="0035791A" w:rsidR="00871C2B" w:rsidP="00864316" w:rsidRDefault="00700030" w14:paraId="24CB6EA4" w14:textId="2E0CC23E">
      <w:pPr>
        <w:spacing w:after="0" w:line="360" w:lineRule="auto"/>
        <w:rPr>
          <w:rFonts w:ascii="Times New Roman" w:hAnsi="Times New Roman" w:cs="Times New Roman"/>
          <w:sz w:val="24"/>
          <w:szCs w:val="24"/>
        </w:rPr>
      </w:pPr>
      <w:r w:rsidRPr="0035791A">
        <w:rPr>
          <w:rFonts w:ascii="Times New Roman" w:hAnsi="Times New Roman" w:cs="Times New Roman"/>
          <w:sz w:val="24"/>
          <w:szCs w:val="24"/>
        </w:rPr>
        <w:t xml:space="preserve">Elektronische cognossementen die zijn afgegeven voor de inwerkingtreding van het wetsvoorstel vallen niet onder het wetsvoorstel. Artikel IV van het wetsvoorstel regelt </w:t>
      </w:r>
      <w:r w:rsidRPr="0035791A" w:rsidR="00E02D63">
        <w:rPr>
          <w:rFonts w:ascii="Times New Roman" w:hAnsi="Times New Roman" w:cs="Times New Roman"/>
          <w:sz w:val="24"/>
          <w:szCs w:val="24"/>
        </w:rPr>
        <w:t xml:space="preserve">bij wijze van overgangsrecht </w:t>
      </w:r>
      <w:r w:rsidRPr="0035791A">
        <w:rPr>
          <w:rFonts w:ascii="Times New Roman" w:hAnsi="Times New Roman" w:cs="Times New Roman"/>
          <w:sz w:val="24"/>
          <w:szCs w:val="24"/>
        </w:rPr>
        <w:t>dat het wetsvoorstel alleen van toepassing is op papieren cognossementen en elektronische cognossementen die na de datum van inwerkingtreding van het wetsvoorstel zijn afgegeven door de vervoerder. Hier is voor gekozen om voor de praktijk duidelijkheid te bieden; de regels die gelden voor een cognossement kunnen dan niet wijzigen tijdens het gebruik ervan. Over het overgangsrecht is gesproken met partijen in het veld, zoals de KVNR en evofenedex, die benadrukten dat het overgangsrecht vooral duidelijk moet zijn. Hieraan is voldaan met de voorgestelde regeling.</w:t>
      </w:r>
      <w:r w:rsidRPr="0035791A" w:rsidR="00061143">
        <w:rPr>
          <w:rFonts w:ascii="Times New Roman" w:hAnsi="Times New Roman" w:cs="Times New Roman"/>
          <w:bCs/>
          <w:iCs/>
          <w:sz w:val="24"/>
          <w:szCs w:val="24"/>
        </w:rPr>
        <w:br/>
      </w:r>
      <w:r w:rsidRPr="0035791A" w:rsidR="00061143">
        <w:rPr>
          <w:rFonts w:ascii="Times New Roman" w:hAnsi="Times New Roman" w:cs="Times New Roman"/>
          <w:bCs/>
          <w:iCs/>
          <w:sz w:val="24"/>
          <w:szCs w:val="24"/>
        </w:rPr>
        <w:br/>
      </w:r>
      <w:r w:rsidRPr="0035791A" w:rsidR="00317098">
        <w:rPr>
          <w:rFonts w:ascii="Times New Roman" w:hAnsi="Times New Roman" w:cs="Times New Roman"/>
          <w:b/>
          <w:sz w:val="24"/>
          <w:szCs w:val="24"/>
        </w:rPr>
        <w:t>II. ARTIKELSGEWIJS</w:t>
      </w:r>
      <w:r w:rsidRPr="0035791A" w:rsidR="00061143">
        <w:rPr>
          <w:rFonts w:ascii="Times New Roman" w:hAnsi="Times New Roman" w:cs="Times New Roman"/>
          <w:b/>
          <w:sz w:val="24"/>
          <w:szCs w:val="24"/>
        </w:rPr>
        <w:br/>
      </w:r>
      <w:r w:rsidRPr="0035791A" w:rsidR="00061143">
        <w:rPr>
          <w:rFonts w:ascii="Times New Roman" w:hAnsi="Times New Roman" w:cs="Times New Roman"/>
          <w:b/>
          <w:sz w:val="24"/>
          <w:szCs w:val="24"/>
        </w:rPr>
        <w:br/>
      </w:r>
      <w:r w:rsidRPr="0035791A" w:rsidR="00317098">
        <w:rPr>
          <w:rFonts w:ascii="Times New Roman" w:hAnsi="Times New Roman" w:cs="Times New Roman"/>
          <w:b/>
          <w:bCs/>
          <w:sz w:val="24"/>
          <w:szCs w:val="24"/>
        </w:rPr>
        <w:t>ARTIKEL I (Boek 8 van het Burgerlijk Wetboek)</w:t>
      </w:r>
      <w:r w:rsidRPr="0035791A" w:rsidR="00061143">
        <w:rPr>
          <w:rFonts w:ascii="Times New Roman" w:hAnsi="Times New Roman" w:cs="Times New Roman"/>
          <w:b/>
          <w:bCs/>
          <w:sz w:val="24"/>
          <w:szCs w:val="24"/>
        </w:rPr>
        <w:br/>
      </w:r>
      <w:r w:rsidRPr="0035791A" w:rsidR="00061143">
        <w:rPr>
          <w:rFonts w:ascii="Times New Roman" w:hAnsi="Times New Roman" w:cs="Times New Roman"/>
          <w:b/>
          <w:bCs/>
          <w:sz w:val="24"/>
          <w:szCs w:val="24"/>
        </w:rPr>
        <w:br/>
      </w:r>
      <w:r w:rsidRPr="0035791A" w:rsidR="00DD39F1">
        <w:rPr>
          <w:rFonts w:ascii="Times New Roman" w:hAnsi="Times New Roman" w:cs="Times New Roman"/>
          <w:i/>
          <w:iCs/>
          <w:sz w:val="24"/>
          <w:szCs w:val="24"/>
        </w:rPr>
        <w:t>De leden van de VVD-fractie vragen of de regering nog enkele extra voorbeelden kan noemen van bepalingen waarvan de aard van de bepaling zich verzet tegen het verklaren van overeenkomstige toepassing op een elektronisch cognossement.</w:t>
      </w:r>
      <w:r w:rsidRPr="0035791A" w:rsidR="00DD39F1">
        <w:rPr>
          <w:rFonts w:ascii="Times New Roman" w:hAnsi="Times New Roman" w:cs="Times New Roman"/>
          <w:sz w:val="24"/>
          <w:szCs w:val="24"/>
        </w:rPr>
        <w:t xml:space="preserve"> </w:t>
      </w:r>
    </w:p>
    <w:p w:rsidRPr="0035791A" w:rsidR="00C47C3E" w:rsidP="00C47C3E" w:rsidRDefault="00C47C3E" w14:paraId="12A8BFC3" w14:textId="1E1F0D03">
      <w:pPr>
        <w:spacing w:after="0" w:line="360" w:lineRule="auto"/>
        <w:rPr>
          <w:rFonts w:ascii="Times New Roman" w:hAnsi="Times New Roman" w:cs="Times New Roman"/>
          <w:bCs/>
          <w:iCs/>
          <w:sz w:val="24"/>
          <w:szCs w:val="24"/>
        </w:rPr>
      </w:pPr>
      <w:r w:rsidRPr="0035791A">
        <w:rPr>
          <w:rFonts w:ascii="Times New Roman" w:hAnsi="Times New Roman" w:cs="Times New Roman"/>
          <w:bCs/>
          <w:iCs/>
          <w:sz w:val="24"/>
          <w:szCs w:val="24"/>
        </w:rPr>
        <w:t>In de toelichting worden als voorbeeld al de bepalingen uit het BW die zien op</w:t>
      </w:r>
    </w:p>
    <w:p w:rsidRPr="0035791A" w:rsidR="007024C9" w:rsidP="00C47C3E" w:rsidRDefault="00C47C3E" w14:paraId="5A0E6521" w14:textId="3E6BDE50">
      <w:pPr>
        <w:spacing w:after="0" w:line="360" w:lineRule="auto"/>
        <w:rPr>
          <w:rFonts w:ascii="Times New Roman" w:hAnsi="Times New Roman" w:cs="Times New Roman"/>
          <w:i/>
          <w:iCs/>
          <w:sz w:val="24"/>
          <w:szCs w:val="24"/>
        </w:rPr>
      </w:pPr>
      <w:r w:rsidRPr="0035791A">
        <w:rPr>
          <w:rFonts w:ascii="Times New Roman" w:hAnsi="Times New Roman" w:cs="Times New Roman"/>
          <w:bCs/>
          <w:iCs/>
          <w:sz w:val="24"/>
          <w:szCs w:val="24"/>
        </w:rPr>
        <w:t xml:space="preserve">binnenvaartcognossementen en de bepalingen die zien op goederenrechtelijke aspecten genoemd. </w:t>
      </w:r>
      <w:r w:rsidRPr="0035791A" w:rsidR="007024C9">
        <w:rPr>
          <w:rFonts w:ascii="Times New Roman" w:hAnsi="Times New Roman" w:cs="Times New Roman"/>
          <w:bCs/>
          <w:iCs/>
          <w:sz w:val="24"/>
          <w:szCs w:val="24"/>
        </w:rPr>
        <w:t xml:space="preserve">Hieronder vallen bijvoorbeeld de </w:t>
      </w:r>
      <w:r w:rsidRPr="0035791A" w:rsidR="00484220">
        <w:rPr>
          <w:rFonts w:ascii="Times New Roman" w:hAnsi="Times New Roman" w:cs="Times New Roman"/>
          <w:bCs/>
          <w:iCs/>
          <w:sz w:val="24"/>
          <w:szCs w:val="24"/>
        </w:rPr>
        <w:t>artikelen 8:416</w:t>
      </w:r>
      <w:r w:rsidRPr="0035791A" w:rsidR="007024C9">
        <w:rPr>
          <w:rFonts w:ascii="Times New Roman" w:hAnsi="Times New Roman" w:cs="Times New Roman"/>
          <w:bCs/>
          <w:iCs/>
          <w:sz w:val="24"/>
          <w:szCs w:val="24"/>
        </w:rPr>
        <w:t>, 8:</w:t>
      </w:r>
      <w:r w:rsidRPr="0035791A" w:rsidR="00484220">
        <w:rPr>
          <w:rFonts w:ascii="Times New Roman" w:hAnsi="Times New Roman" w:cs="Times New Roman"/>
          <w:bCs/>
          <w:iCs/>
          <w:sz w:val="24"/>
          <w:szCs w:val="24"/>
        </w:rPr>
        <w:t>417</w:t>
      </w:r>
      <w:r w:rsidRPr="0035791A" w:rsidR="007024C9">
        <w:rPr>
          <w:rFonts w:ascii="Times New Roman" w:hAnsi="Times New Roman" w:cs="Times New Roman"/>
          <w:bCs/>
          <w:iCs/>
          <w:sz w:val="24"/>
          <w:szCs w:val="24"/>
        </w:rPr>
        <w:t xml:space="preserve"> BW en 3:93 BW inzake de levering van een cognossement. Bij een elektronisch cognossement is de daarin opgenomen leveringswijze namelijk niet mogelijk</w:t>
      </w:r>
      <w:r w:rsidRPr="0035791A" w:rsidR="008402A6">
        <w:rPr>
          <w:rFonts w:ascii="Times New Roman" w:hAnsi="Times New Roman" w:cs="Times New Roman"/>
          <w:bCs/>
          <w:iCs/>
          <w:sz w:val="24"/>
          <w:szCs w:val="24"/>
        </w:rPr>
        <w:t>, omdat er in die artikelen wordt uitgegaan van een papier dat wordt geleverd</w:t>
      </w:r>
      <w:r w:rsidRPr="0035791A" w:rsidR="007024C9">
        <w:rPr>
          <w:rFonts w:ascii="Times New Roman" w:hAnsi="Times New Roman" w:cs="Times New Roman"/>
          <w:bCs/>
          <w:iCs/>
          <w:sz w:val="24"/>
          <w:szCs w:val="24"/>
        </w:rPr>
        <w:t>.</w:t>
      </w:r>
      <w:r w:rsidRPr="0035791A" w:rsidR="008402A6">
        <w:rPr>
          <w:rFonts w:ascii="Times New Roman" w:hAnsi="Times New Roman" w:cs="Times New Roman"/>
          <w:sz w:val="24"/>
          <w:szCs w:val="24"/>
        </w:rPr>
        <w:t xml:space="preserve"> </w:t>
      </w:r>
      <w:r w:rsidRPr="0035791A" w:rsidR="00061143">
        <w:rPr>
          <w:rFonts w:ascii="Times New Roman" w:hAnsi="Times New Roman" w:cs="Times New Roman"/>
          <w:bCs/>
          <w:iCs/>
          <w:sz w:val="24"/>
          <w:szCs w:val="24"/>
        </w:rPr>
        <w:br/>
      </w:r>
      <w:r w:rsidRPr="0035791A" w:rsidR="00061143">
        <w:rPr>
          <w:rFonts w:ascii="Times New Roman" w:hAnsi="Times New Roman" w:cs="Times New Roman"/>
          <w:bCs/>
          <w:iCs/>
          <w:sz w:val="24"/>
          <w:szCs w:val="24"/>
        </w:rPr>
        <w:lastRenderedPageBreak/>
        <w:br/>
      </w:r>
      <w:r w:rsidRPr="0035791A" w:rsidR="00317098">
        <w:rPr>
          <w:rFonts w:ascii="Times New Roman" w:hAnsi="Times New Roman" w:cs="Times New Roman"/>
          <w:b/>
          <w:bCs/>
          <w:sz w:val="24"/>
          <w:szCs w:val="24"/>
        </w:rPr>
        <w:t>ARTIKEL III (Evaluatie)</w:t>
      </w:r>
      <w:r w:rsidRPr="0035791A" w:rsidR="00061143">
        <w:rPr>
          <w:rFonts w:ascii="Times New Roman" w:hAnsi="Times New Roman" w:cs="Times New Roman"/>
          <w:b/>
          <w:bCs/>
          <w:sz w:val="24"/>
          <w:szCs w:val="24"/>
        </w:rPr>
        <w:br/>
      </w:r>
      <w:r w:rsidRPr="0035791A" w:rsidR="00061143">
        <w:rPr>
          <w:rFonts w:ascii="Times New Roman" w:hAnsi="Times New Roman" w:cs="Times New Roman"/>
          <w:b/>
          <w:bCs/>
          <w:sz w:val="24"/>
          <w:szCs w:val="24"/>
        </w:rPr>
        <w:br/>
      </w:r>
      <w:r w:rsidRPr="0035791A" w:rsidR="00573147">
        <w:rPr>
          <w:rFonts w:ascii="Times New Roman" w:hAnsi="Times New Roman" w:cs="Times New Roman"/>
          <w:i/>
          <w:iCs/>
          <w:sz w:val="24"/>
          <w:szCs w:val="24"/>
        </w:rPr>
        <w:t xml:space="preserve">De </w:t>
      </w:r>
      <w:r w:rsidRPr="0035791A" w:rsidR="00E2775B">
        <w:rPr>
          <w:rFonts w:ascii="Times New Roman" w:hAnsi="Times New Roman" w:cs="Times New Roman"/>
          <w:i/>
          <w:iCs/>
          <w:sz w:val="24"/>
          <w:szCs w:val="24"/>
        </w:rPr>
        <w:t>leden van de NSC-</w:t>
      </w:r>
      <w:r w:rsidRPr="0035791A" w:rsidR="00573147">
        <w:rPr>
          <w:rFonts w:ascii="Times New Roman" w:hAnsi="Times New Roman" w:cs="Times New Roman"/>
          <w:i/>
          <w:iCs/>
          <w:sz w:val="24"/>
          <w:szCs w:val="24"/>
        </w:rPr>
        <w:t>fractie vra</w:t>
      </w:r>
      <w:r w:rsidRPr="0035791A" w:rsidR="00E2775B">
        <w:rPr>
          <w:rFonts w:ascii="Times New Roman" w:hAnsi="Times New Roman" w:cs="Times New Roman"/>
          <w:i/>
          <w:iCs/>
          <w:sz w:val="24"/>
          <w:szCs w:val="24"/>
        </w:rPr>
        <w:t>gen</w:t>
      </w:r>
      <w:r w:rsidRPr="0035791A" w:rsidR="00573147">
        <w:rPr>
          <w:rFonts w:ascii="Times New Roman" w:hAnsi="Times New Roman" w:cs="Times New Roman"/>
          <w:i/>
          <w:iCs/>
          <w:sz w:val="24"/>
          <w:szCs w:val="24"/>
        </w:rPr>
        <w:t xml:space="preserve"> de regering of een invoeringstoets kan worden gerealiseerd. Immers</w:t>
      </w:r>
      <w:r w:rsidRPr="0035791A" w:rsidR="00A56319">
        <w:rPr>
          <w:rFonts w:ascii="Times New Roman" w:hAnsi="Times New Roman" w:cs="Times New Roman"/>
          <w:i/>
          <w:iCs/>
          <w:sz w:val="24"/>
          <w:szCs w:val="24"/>
        </w:rPr>
        <w:t>,</w:t>
      </w:r>
      <w:r w:rsidRPr="0035791A" w:rsidR="00573147">
        <w:rPr>
          <w:rFonts w:ascii="Times New Roman" w:hAnsi="Times New Roman" w:cs="Times New Roman"/>
          <w:i/>
          <w:iCs/>
          <w:sz w:val="24"/>
          <w:szCs w:val="24"/>
        </w:rPr>
        <w:t xml:space="preserve"> het Adviescollege toetsing regeldruk heeft geadviseerd om één jaar na inwerkingtreding van het voorstel een dergelijke toets te doen, waardoor zicht kan worden gekregen op eventuele problemen met betrekking tot de werkbaarheid in de praktijk. Naar aanleiding van deze invoeringstoets kan de wet of uitwerking van de wet worden aangepast.</w:t>
      </w:r>
    </w:p>
    <w:p w:rsidRPr="0035791A" w:rsidR="00A43A6F" w:rsidP="00C47C3E" w:rsidRDefault="007024C9" w14:paraId="25BA3122" w14:textId="15884094">
      <w:pPr>
        <w:spacing w:after="0" w:line="360" w:lineRule="auto"/>
        <w:rPr>
          <w:rFonts w:ascii="Times New Roman" w:hAnsi="Times New Roman" w:cs="Times New Roman"/>
          <w:i/>
          <w:iCs/>
          <w:sz w:val="24"/>
          <w:szCs w:val="24"/>
        </w:rPr>
      </w:pPr>
      <w:r w:rsidRPr="0035791A">
        <w:rPr>
          <w:rFonts w:ascii="Times New Roman" w:hAnsi="Times New Roman" w:cs="Times New Roman"/>
          <w:sz w:val="24"/>
          <w:szCs w:val="24"/>
        </w:rPr>
        <w:t xml:space="preserve">Het Adviescollege toetsing regeldruk (ATR) </w:t>
      </w:r>
      <w:r w:rsidRPr="0035791A" w:rsidR="00C02195">
        <w:rPr>
          <w:rFonts w:ascii="Times New Roman" w:hAnsi="Times New Roman" w:cs="Times New Roman"/>
          <w:sz w:val="24"/>
          <w:szCs w:val="24"/>
        </w:rPr>
        <w:t xml:space="preserve">adviseert in haar advies naar aanleiding van de tweede internetconsultatie o.a. om met een invoeringstoets zicht te krijgen op eventuele problemen met betrekking tot de werkbaarheid in de praktijk. </w:t>
      </w:r>
      <w:r w:rsidRPr="0035791A" w:rsidR="007035B5">
        <w:rPr>
          <w:rFonts w:ascii="Times New Roman" w:hAnsi="Times New Roman" w:cs="Times New Roman"/>
          <w:sz w:val="24"/>
          <w:szCs w:val="24"/>
        </w:rPr>
        <w:t>De invoeringstoets is een hulpmiddel om in een zo vroeg mogelijk stadium eventuele problemen te signaleren, op te pakken en op te lossen.</w:t>
      </w:r>
      <w:r w:rsidRPr="0035791A" w:rsidR="007035B5">
        <w:rPr>
          <w:rStyle w:val="Voetnootmarkering"/>
          <w:rFonts w:ascii="Times New Roman" w:hAnsi="Times New Roman" w:cs="Times New Roman"/>
          <w:sz w:val="24"/>
          <w:szCs w:val="24"/>
        </w:rPr>
        <w:footnoteReference w:id="6"/>
      </w:r>
      <w:r w:rsidRPr="0035791A" w:rsidR="00EC1296">
        <w:rPr>
          <w:rFonts w:ascii="Times New Roman" w:hAnsi="Times New Roman" w:cs="Times New Roman"/>
          <w:sz w:val="24"/>
          <w:szCs w:val="24"/>
        </w:rPr>
        <w:t xml:space="preserve"> Naar aanleiding van o.a. het advies van de ATR is ervoor gekozen om</w:t>
      </w:r>
      <w:r w:rsidRPr="0035791A" w:rsidR="007035B5">
        <w:rPr>
          <w:rFonts w:ascii="Times New Roman" w:hAnsi="Times New Roman" w:cs="Times New Roman"/>
          <w:sz w:val="24"/>
          <w:szCs w:val="24"/>
        </w:rPr>
        <w:t xml:space="preserve"> </w:t>
      </w:r>
      <w:r w:rsidRPr="0035791A" w:rsidR="00EC1296">
        <w:rPr>
          <w:rFonts w:ascii="Times New Roman" w:hAnsi="Times New Roman" w:cs="Times New Roman"/>
          <w:sz w:val="24"/>
          <w:szCs w:val="24"/>
        </w:rPr>
        <w:t xml:space="preserve">een evaluatiebepaling toe te voegen, waardoor na drie jaar zal worden gekeken hoe het wetsvoorstel in de praktijk uitwerkt. </w:t>
      </w:r>
      <w:r w:rsidRPr="0035791A" w:rsidR="00A43A6F">
        <w:rPr>
          <w:rFonts w:ascii="Times New Roman" w:hAnsi="Times New Roman" w:cs="Times New Roman"/>
          <w:sz w:val="24"/>
          <w:szCs w:val="24"/>
        </w:rPr>
        <w:t xml:space="preserve">De gebruikelijke evaluatietermijn is vijf jaar, maar in het wetsvoorstel is voor een kortere termijn van drie jaar gekozen. </w:t>
      </w:r>
      <w:r w:rsidRPr="0035791A" w:rsidR="009F16EB">
        <w:rPr>
          <w:rFonts w:ascii="Times New Roman" w:hAnsi="Times New Roman" w:cs="Times New Roman"/>
          <w:sz w:val="24"/>
          <w:szCs w:val="24"/>
        </w:rPr>
        <w:t xml:space="preserve">Dit is al een korte termijn waarbinnen naar de uitwerking van het wetsvoorstel zal worden gekeken. Ik zie geen reden om hier nog een invoeringstoets aan toe te voegen. </w:t>
      </w:r>
      <w:r w:rsidRPr="0035791A" w:rsidR="00A43A6F">
        <w:rPr>
          <w:rFonts w:ascii="Times New Roman" w:hAnsi="Times New Roman" w:cs="Times New Roman"/>
          <w:sz w:val="24"/>
          <w:szCs w:val="24"/>
        </w:rPr>
        <w:t xml:space="preserve">Indien er mij voor de evaluatie al signalen bereiken dat het wetsvoorstel anders uitwerkt dan verwacht, zal ik </w:t>
      </w:r>
      <w:r w:rsidRPr="0035791A" w:rsidR="009F16EB">
        <w:rPr>
          <w:rFonts w:ascii="Times New Roman" w:hAnsi="Times New Roman" w:cs="Times New Roman"/>
          <w:sz w:val="24"/>
          <w:szCs w:val="24"/>
        </w:rPr>
        <w:t xml:space="preserve">alsnog </w:t>
      </w:r>
      <w:r w:rsidRPr="0035791A" w:rsidR="00A43A6F">
        <w:rPr>
          <w:rFonts w:ascii="Times New Roman" w:hAnsi="Times New Roman" w:cs="Times New Roman"/>
          <w:sz w:val="24"/>
          <w:szCs w:val="24"/>
        </w:rPr>
        <w:t>kijken of een invoeringstoets wenselijk is. Maar op voorhand lijkt mij dit niet nodig.</w:t>
      </w:r>
      <w:r w:rsidRPr="0035791A" w:rsidR="00061143">
        <w:rPr>
          <w:rFonts w:ascii="Times New Roman" w:hAnsi="Times New Roman" w:cs="Times New Roman"/>
          <w:i/>
          <w:iCs/>
          <w:sz w:val="24"/>
          <w:szCs w:val="24"/>
        </w:rPr>
        <w:br/>
      </w:r>
      <w:r w:rsidRPr="0035791A" w:rsidR="00061143">
        <w:rPr>
          <w:rFonts w:ascii="Times New Roman" w:hAnsi="Times New Roman" w:cs="Times New Roman"/>
          <w:i/>
          <w:iCs/>
          <w:sz w:val="24"/>
          <w:szCs w:val="24"/>
        </w:rPr>
        <w:br/>
      </w:r>
      <w:r w:rsidRPr="0035791A" w:rsidR="00573147">
        <w:rPr>
          <w:rFonts w:ascii="Times New Roman" w:hAnsi="Times New Roman" w:cs="Times New Roman"/>
          <w:i/>
          <w:iCs/>
          <w:sz w:val="24"/>
          <w:szCs w:val="24"/>
        </w:rPr>
        <w:t xml:space="preserve">In </w:t>
      </w:r>
      <w:r w:rsidRPr="0035791A" w:rsidR="00AC0744">
        <w:rPr>
          <w:rFonts w:ascii="Times New Roman" w:hAnsi="Times New Roman" w:cs="Times New Roman"/>
          <w:i/>
          <w:iCs/>
          <w:sz w:val="24"/>
          <w:szCs w:val="24"/>
        </w:rPr>
        <w:t xml:space="preserve">het voorgestelde </w:t>
      </w:r>
      <w:r w:rsidRPr="0035791A" w:rsidR="00573147">
        <w:rPr>
          <w:rFonts w:ascii="Times New Roman" w:hAnsi="Times New Roman" w:cs="Times New Roman"/>
          <w:i/>
          <w:iCs/>
          <w:sz w:val="24"/>
          <w:szCs w:val="24"/>
        </w:rPr>
        <w:t>artikel III wordt momenteel voorzien in een verslag over de doeltreffendheid en de effecten van de wet in de praktijk binnen drie jaar na de inwerkingtreding</w:t>
      </w:r>
      <w:r w:rsidRPr="0035791A" w:rsidR="005F78C8">
        <w:rPr>
          <w:rFonts w:ascii="Times New Roman" w:hAnsi="Times New Roman" w:cs="Times New Roman"/>
          <w:i/>
          <w:iCs/>
          <w:sz w:val="24"/>
          <w:szCs w:val="24"/>
        </w:rPr>
        <w:t>, zo merken de leden van de NSC-fractie op</w:t>
      </w:r>
      <w:r w:rsidRPr="0035791A" w:rsidR="00573147">
        <w:rPr>
          <w:rFonts w:ascii="Times New Roman" w:hAnsi="Times New Roman" w:cs="Times New Roman"/>
          <w:i/>
          <w:iCs/>
          <w:sz w:val="24"/>
          <w:szCs w:val="24"/>
        </w:rPr>
        <w:t>. De</w:t>
      </w:r>
      <w:r w:rsidRPr="0035791A" w:rsidR="005F78C8">
        <w:rPr>
          <w:rFonts w:ascii="Times New Roman" w:hAnsi="Times New Roman" w:cs="Times New Roman"/>
          <w:i/>
          <w:iCs/>
          <w:sz w:val="24"/>
          <w:szCs w:val="24"/>
        </w:rPr>
        <w:t>ze leden</w:t>
      </w:r>
      <w:r w:rsidRPr="0035791A" w:rsidR="00573147">
        <w:rPr>
          <w:rFonts w:ascii="Times New Roman" w:hAnsi="Times New Roman" w:cs="Times New Roman"/>
          <w:i/>
          <w:iCs/>
          <w:sz w:val="24"/>
          <w:szCs w:val="24"/>
        </w:rPr>
        <w:t xml:space="preserve"> vra</w:t>
      </w:r>
      <w:r w:rsidRPr="0035791A" w:rsidR="005F78C8">
        <w:rPr>
          <w:rFonts w:ascii="Times New Roman" w:hAnsi="Times New Roman" w:cs="Times New Roman"/>
          <w:i/>
          <w:iCs/>
          <w:sz w:val="24"/>
          <w:szCs w:val="24"/>
        </w:rPr>
        <w:t>gen</w:t>
      </w:r>
      <w:r w:rsidRPr="0035791A" w:rsidR="00573147">
        <w:rPr>
          <w:rFonts w:ascii="Times New Roman" w:hAnsi="Times New Roman" w:cs="Times New Roman"/>
          <w:i/>
          <w:iCs/>
          <w:sz w:val="24"/>
          <w:szCs w:val="24"/>
        </w:rPr>
        <w:t xml:space="preserve"> de regering of deze termijn kan worden verkort en vra</w:t>
      </w:r>
      <w:r w:rsidRPr="0035791A" w:rsidR="005F78C8">
        <w:rPr>
          <w:rFonts w:ascii="Times New Roman" w:hAnsi="Times New Roman" w:cs="Times New Roman"/>
          <w:i/>
          <w:iCs/>
          <w:sz w:val="24"/>
          <w:szCs w:val="24"/>
        </w:rPr>
        <w:t>gen</w:t>
      </w:r>
      <w:r w:rsidRPr="0035791A" w:rsidR="00573147">
        <w:rPr>
          <w:rFonts w:ascii="Times New Roman" w:hAnsi="Times New Roman" w:cs="Times New Roman"/>
          <w:i/>
          <w:iCs/>
          <w:sz w:val="24"/>
          <w:szCs w:val="24"/>
        </w:rPr>
        <w:t xml:space="preserve"> bovendien om een expliciete</w:t>
      </w:r>
      <w:r w:rsidRPr="0035791A" w:rsidR="005F78C8">
        <w:rPr>
          <w:rFonts w:ascii="Times New Roman" w:hAnsi="Times New Roman" w:cs="Times New Roman"/>
          <w:i/>
          <w:iCs/>
          <w:sz w:val="24"/>
          <w:szCs w:val="24"/>
        </w:rPr>
        <w:t>(</w:t>
      </w:r>
      <w:r w:rsidRPr="0035791A" w:rsidR="00573147">
        <w:rPr>
          <w:rFonts w:ascii="Times New Roman" w:hAnsi="Times New Roman" w:cs="Times New Roman"/>
          <w:i/>
          <w:iCs/>
          <w:sz w:val="24"/>
          <w:szCs w:val="24"/>
        </w:rPr>
        <w:t>re) opname in het wetsvoorstel daarvan (in plaats van “binnen X jaar”).</w:t>
      </w:r>
    </w:p>
    <w:p w:rsidRPr="0035791A" w:rsidR="00130A1D" w:rsidP="009F3C3C" w:rsidRDefault="00A43A6F" w14:paraId="6C4A240A" w14:textId="4E34EBA2">
      <w:pPr>
        <w:spacing w:after="0" w:line="360" w:lineRule="auto"/>
        <w:rPr>
          <w:rFonts w:ascii="Times New Roman" w:hAnsi="Times New Roman" w:cs="Times New Roman"/>
          <w:sz w:val="24"/>
          <w:szCs w:val="24"/>
        </w:rPr>
      </w:pPr>
      <w:r w:rsidRPr="0035791A">
        <w:rPr>
          <w:rFonts w:ascii="Times New Roman" w:hAnsi="Times New Roman" w:cs="Times New Roman"/>
          <w:sz w:val="24"/>
          <w:szCs w:val="24"/>
        </w:rPr>
        <w:t>De gebruikelijke termijn voor een evaluatie van een wetsvoorstel is vijf jaar. In dit wetsvoorstel is al voor een kortere termijn gekozen</w:t>
      </w:r>
      <w:r w:rsidRPr="0035791A" w:rsidR="009305C7">
        <w:rPr>
          <w:rFonts w:ascii="Times New Roman" w:hAnsi="Times New Roman" w:cs="Times New Roman"/>
          <w:sz w:val="24"/>
          <w:szCs w:val="24"/>
        </w:rPr>
        <w:t xml:space="preserve">, </w:t>
      </w:r>
      <w:r w:rsidRPr="0035791A" w:rsidR="001F1075">
        <w:rPr>
          <w:rFonts w:ascii="Times New Roman" w:hAnsi="Times New Roman" w:cs="Times New Roman"/>
          <w:sz w:val="24"/>
          <w:szCs w:val="24"/>
        </w:rPr>
        <w:t xml:space="preserve">namelijk drie jaar, </w:t>
      </w:r>
      <w:r w:rsidRPr="0035791A" w:rsidR="009305C7">
        <w:rPr>
          <w:rFonts w:ascii="Times New Roman" w:hAnsi="Times New Roman" w:cs="Times New Roman"/>
          <w:sz w:val="24"/>
          <w:szCs w:val="24"/>
        </w:rPr>
        <w:t xml:space="preserve">onder meer vanwege de snelheid van de technologische ontwikkelingen. </w:t>
      </w:r>
      <w:r w:rsidRPr="0035791A">
        <w:rPr>
          <w:rFonts w:ascii="Times New Roman" w:hAnsi="Times New Roman" w:cs="Times New Roman"/>
          <w:sz w:val="24"/>
          <w:szCs w:val="24"/>
        </w:rPr>
        <w:t xml:space="preserve">Ik zie geen reden om deze termijn nog verder te verkorten. </w:t>
      </w:r>
      <w:r w:rsidRPr="0035791A" w:rsidR="009305C7">
        <w:rPr>
          <w:rFonts w:ascii="Times New Roman" w:hAnsi="Times New Roman" w:cs="Times New Roman"/>
          <w:sz w:val="24"/>
          <w:szCs w:val="24"/>
        </w:rPr>
        <w:t>Bovendien volgt uit de Aanwijzingen voor de regelgeving dat een evaluatietermijn niet te kort moet zijn, omdat er dan nog weinig ervaring in de praktijk met een wet zal zijn opgedaan.</w:t>
      </w:r>
      <w:r w:rsidRPr="0035791A" w:rsidR="009305C7">
        <w:rPr>
          <w:rStyle w:val="Voetnootmarkering"/>
          <w:rFonts w:ascii="Times New Roman" w:hAnsi="Times New Roman" w:cs="Times New Roman"/>
          <w:sz w:val="24"/>
          <w:szCs w:val="24"/>
        </w:rPr>
        <w:footnoteReference w:id="7"/>
      </w:r>
      <w:r w:rsidRPr="0035791A" w:rsidR="009305C7">
        <w:rPr>
          <w:rFonts w:ascii="Times New Roman" w:hAnsi="Times New Roman" w:cs="Times New Roman"/>
          <w:sz w:val="24"/>
          <w:szCs w:val="24"/>
        </w:rPr>
        <w:t xml:space="preserve"> Inzake de formulering van de bepaling verwijs ik tevens naar de </w:t>
      </w:r>
      <w:r w:rsidRPr="0035791A" w:rsidR="009305C7">
        <w:rPr>
          <w:rFonts w:ascii="Times New Roman" w:hAnsi="Times New Roman" w:cs="Times New Roman"/>
          <w:sz w:val="24"/>
          <w:szCs w:val="24"/>
        </w:rPr>
        <w:lastRenderedPageBreak/>
        <w:t>Aanwijzingen voor de regelgeving, waarin een model</w:t>
      </w:r>
      <w:r w:rsidRPr="0035791A" w:rsidR="00702008">
        <w:rPr>
          <w:rFonts w:ascii="Times New Roman" w:hAnsi="Times New Roman" w:cs="Times New Roman"/>
          <w:sz w:val="24"/>
          <w:szCs w:val="24"/>
        </w:rPr>
        <w:t xml:space="preserve"> voor evaluatiebepalingen</w:t>
      </w:r>
      <w:r w:rsidRPr="0035791A" w:rsidR="009305C7">
        <w:rPr>
          <w:rFonts w:ascii="Times New Roman" w:hAnsi="Times New Roman" w:cs="Times New Roman"/>
          <w:sz w:val="24"/>
          <w:szCs w:val="24"/>
        </w:rPr>
        <w:t xml:space="preserve"> is opgenomen. De evaluatiebepaling in het wetsvoorstel sluit hierbij aan.</w:t>
      </w:r>
    </w:p>
    <w:p w:rsidRPr="0035791A" w:rsidR="00883FBA" w:rsidP="009F3C3C" w:rsidRDefault="00883FBA" w14:paraId="2FF6B636" w14:textId="77777777">
      <w:pPr>
        <w:spacing w:after="0" w:line="360" w:lineRule="auto"/>
        <w:rPr>
          <w:rFonts w:ascii="Times New Roman" w:hAnsi="Times New Roman" w:cs="Times New Roman"/>
          <w:sz w:val="24"/>
          <w:szCs w:val="24"/>
        </w:rPr>
      </w:pPr>
    </w:p>
    <w:p w:rsidRPr="0035791A" w:rsidR="001F1075" w:rsidP="0035791A" w:rsidRDefault="001F1075" w14:paraId="45574868" w14:textId="4ABF6906">
      <w:pPr>
        <w:pStyle w:val="Geenafstand"/>
        <w:rPr>
          <w:rFonts w:ascii="Times New Roman" w:hAnsi="Times New Roman" w:cs="Times New Roman"/>
          <w:sz w:val="24"/>
          <w:szCs w:val="24"/>
        </w:rPr>
      </w:pPr>
      <w:r w:rsidRPr="0035791A">
        <w:rPr>
          <w:rFonts w:ascii="Times New Roman" w:hAnsi="Times New Roman" w:cs="Times New Roman"/>
          <w:sz w:val="24"/>
          <w:szCs w:val="24"/>
        </w:rPr>
        <w:t>De Staatssecretaris van Justitie en Veiligheid,</w:t>
      </w:r>
    </w:p>
    <w:p w:rsidRPr="0035791A" w:rsidR="001F1075" w:rsidP="0035791A" w:rsidRDefault="0035791A" w14:paraId="55921C71" w14:textId="4365557F">
      <w:pPr>
        <w:pStyle w:val="Geenafstand"/>
        <w:rPr>
          <w:rFonts w:ascii="Times New Roman" w:hAnsi="Times New Roman" w:cs="Times New Roman"/>
          <w:sz w:val="24"/>
          <w:szCs w:val="24"/>
        </w:rPr>
      </w:pPr>
      <w:r w:rsidRPr="0035791A">
        <w:rPr>
          <w:rFonts w:ascii="Times New Roman" w:hAnsi="Times New Roman" w:cs="Times New Roman"/>
          <w:sz w:val="24"/>
          <w:szCs w:val="24"/>
        </w:rPr>
        <w:t>A.C.L. Rutte</w:t>
      </w:r>
    </w:p>
    <w:p w:rsidRPr="0035791A" w:rsidR="001F1075" w:rsidP="009F3C3C" w:rsidRDefault="001F1075" w14:paraId="1E4B2994" w14:textId="27D2AAE5">
      <w:pPr>
        <w:spacing w:after="0" w:line="360" w:lineRule="auto"/>
        <w:rPr>
          <w:rFonts w:ascii="Times New Roman" w:hAnsi="Times New Roman" w:cs="Times New Roman"/>
          <w:bCs/>
          <w:iCs/>
          <w:sz w:val="24"/>
          <w:szCs w:val="24"/>
        </w:rPr>
      </w:pPr>
    </w:p>
    <w:sectPr w:rsidRPr="0035791A" w:rsidR="001F1075" w:rsidSect="00844E28">
      <w:footerReference w:type="default" r:id="rId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F8BB2" w14:textId="77777777" w:rsidR="00207AC9" w:rsidRDefault="00207AC9" w:rsidP="002B6666">
      <w:pPr>
        <w:spacing w:after="0" w:line="240" w:lineRule="auto"/>
      </w:pPr>
      <w:r>
        <w:separator/>
      </w:r>
    </w:p>
  </w:endnote>
  <w:endnote w:type="continuationSeparator" w:id="0">
    <w:p w14:paraId="4E664962" w14:textId="77777777" w:rsidR="00207AC9" w:rsidRDefault="00207AC9" w:rsidP="002B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6660" w14:textId="0264BFF7" w:rsidR="002B6666" w:rsidRPr="002B6666" w:rsidRDefault="002B6666">
    <w:pPr>
      <w:pStyle w:val="Voettekst"/>
      <w:jc w:val="right"/>
      <w:rPr>
        <w:rFonts w:ascii="Times New Roman" w:hAnsi="Times New Roman" w:cs="Times New Roman"/>
      </w:rPr>
    </w:pPr>
  </w:p>
  <w:p w14:paraId="33532FBE" w14:textId="77777777" w:rsidR="002B6666" w:rsidRDefault="002B66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829C3" w14:textId="77777777" w:rsidR="00207AC9" w:rsidRDefault="00207AC9" w:rsidP="002B6666">
      <w:pPr>
        <w:spacing w:after="0" w:line="240" w:lineRule="auto"/>
      </w:pPr>
      <w:r>
        <w:separator/>
      </w:r>
    </w:p>
  </w:footnote>
  <w:footnote w:type="continuationSeparator" w:id="0">
    <w:p w14:paraId="597C6E1B" w14:textId="77777777" w:rsidR="00207AC9" w:rsidRDefault="00207AC9" w:rsidP="002B6666">
      <w:pPr>
        <w:spacing w:after="0" w:line="240" w:lineRule="auto"/>
      </w:pPr>
      <w:r>
        <w:continuationSeparator/>
      </w:r>
    </w:p>
  </w:footnote>
  <w:footnote w:id="1">
    <w:p w14:paraId="420375B7" w14:textId="11B667D0" w:rsidR="00E44747" w:rsidRPr="0035791A" w:rsidRDefault="00E44747">
      <w:pPr>
        <w:pStyle w:val="Voetnoottekst"/>
        <w:rPr>
          <w:rFonts w:ascii="Times New Roman" w:hAnsi="Times New Roman" w:cs="Times New Roman"/>
        </w:rPr>
      </w:pPr>
      <w:r w:rsidRPr="0035791A">
        <w:rPr>
          <w:rStyle w:val="Voetnootmarkering"/>
          <w:rFonts w:ascii="Times New Roman" w:hAnsi="Times New Roman" w:cs="Times New Roman"/>
        </w:rPr>
        <w:footnoteRef/>
      </w:r>
      <w:r w:rsidRPr="0035791A">
        <w:rPr>
          <w:rFonts w:ascii="Times New Roman" w:hAnsi="Times New Roman" w:cs="Times New Roman"/>
        </w:rPr>
        <w:t xml:space="preserve"> https://www.igpandi.org/article/electronic-bills-of-lading-notification-of-new-process/. </w:t>
      </w:r>
    </w:p>
  </w:footnote>
  <w:footnote w:id="2">
    <w:p w14:paraId="38021DE5" w14:textId="633A1AA7" w:rsidR="008A595C" w:rsidRPr="0035791A" w:rsidRDefault="008A595C">
      <w:pPr>
        <w:pStyle w:val="Voetnoottekst"/>
        <w:rPr>
          <w:rFonts w:ascii="Times New Roman" w:hAnsi="Times New Roman" w:cs="Times New Roman"/>
        </w:rPr>
      </w:pPr>
      <w:r w:rsidRPr="0035791A">
        <w:rPr>
          <w:rStyle w:val="Voetnootmarkering"/>
          <w:rFonts w:ascii="Times New Roman" w:hAnsi="Times New Roman" w:cs="Times New Roman"/>
        </w:rPr>
        <w:footnoteRef/>
      </w:r>
      <w:r w:rsidRPr="0035791A">
        <w:rPr>
          <w:rFonts w:ascii="Times New Roman" w:hAnsi="Times New Roman" w:cs="Times New Roman"/>
        </w:rPr>
        <w:t xml:space="preserve"> Zie Kamerstukken II 2024/25, 21 501-33, nr. 1084. </w:t>
      </w:r>
    </w:p>
  </w:footnote>
  <w:footnote w:id="3">
    <w:p w14:paraId="35815CA0" w14:textId="3D04FA01" w:rsidR="00254D1E" w:rsidRPr="0035791A" w:rsidRDefault="00254D1E">
      <w:pPr>
        <w:pStyle w:val="Voetnoottekst"/>
        <w:rPr>
          <w:rFonts w:ascii="Times New Roman" w:hAnsi="Times New Roman" w:cs="Times New Roman"/>
        </w:rPr>
      </w:pPr>
      <w:r w:rsidRPr="0035791A">
        <w:rPr>
          <w:rStyle w:val="Voetnootmarkering"/>
          <w:rFonts w:ascii="Times New Roman" w:hAnsi="Times New Roman" w:cs="Times New Roman"/>
        </w:rPr>
        <w:footnoteRef/>
      </w:r>
      <w:r w:rsidRPr="0035791A">
        <w:rPr>
          <w:rFonts w:ascii="Times New Roman" w:hAnsi="Times New Roman" w:cs="Times New Roman"/>
        </w:rPr>
        <w:t xml:space="preserve"> https://www.igpandi.org/article/electronic-bills-of-lading-notification-of-new-process/.</w:t>
      </w:r>
    </w:p>
  </w:footnote>
  <w:footnote w:id="4">
    <w:p w14:paraId="71B0DB9C" w14:textId="525857B5" w:rsidR="003B76C6" w:rsidRPr="0035791A" w:rsidRDefault="003B76C6">
      <w:pPr>
        <w:pStyle w:val="Voetnoottekst"/>
        <w:rPr>
          <w:rFonts w:ascii="Times New Roman" w:hAnsi="Times New Roman" w:cs="Times New Roman"/>
        </w:rPr>
      </w:pPr>
      <w:r w:rsidRPr="0035791A">
        <w:rPr>
          <w:rStyle w:val="Voetnootmarkering"/>
          <w:rFonts w:ascii="Times New Roman" w:hAnsi="Times New Roman" w:cs="Times New Roman"/>
        </w:rPr>
        <w:footnoteRef/>
      </w:r>
      <w:r w:rsidRPr="0035791A">
        <w:rPr>
          <w:rFonts w:ascii="Times New Roman" w:hAnsi="Times New Roman" w:cs="Times New Roman"/>
        </w:rPr>
        <w:t xml:space="preserve"> Zie </w:t>
      </w:r>
      <w:r w:rsidR="00A77364" w:rsidRPr="0035791A">
        <w:rPr>
          <w:rFonts w:ascii="Times New Roman" w:hAnsi="Times New Roman" w:cs="Times New Roman"/>
        </w:rPr>
        <w:t xml:space="preserve">bijvoorbeeld </w:t>
      </w:r>
      <w:r w:rsidRPr="0035791A">
        <w:rPr>
          <w:rFonts w:ascii="Times New Roman" w:hAnsi="Times New Roman" w:cs="Times New Roman"/>
        </w:rPr>
        <w:t>ECLI:NL:GHARL:2023:687, Gerechtshof Arnhem-Leeuwarden, 24-01-2023.</w:t>
      </w:r>
    </w:p>
  </w:footnote>
  <w:footnote w:id="5">
    <w:p w14:paraId="6F5E9FA5" w14:textId="6BD233B8" w:rsidR="00461FBD" w:rsidRPr="0035791A" w:rsidRDefault="00461FBD">
      <w:pPr>
        <w:pStyle w:val="Voetnoottekst"/>
        <w:rPr>
          <w:rFonts w:ascii="Times New Roman" w:hAnsi="Times New Roman" w:cs="Times New Roman"/>
        </w:rPr>
      </w:pPr>
      <w:r w:rsidRPr="0035791A">
        <w:rPr>
          <w:rStyle w:val="Voetnootmarkering"/>
          <w:rFonts w:ascii="Times New Roman" w:hAnsi="Times New Roman" w:cs="Times New Roman"/>
        </w:rPr>
        <w:footnoteRef/>
      </w:r>
      <w:r w:rsidRPr="0035791A">
        <w:rPr>
          <w:rFonts w:ascii="Times New Roman" w:hAnsi="Times New Roman" w:cs="Times New Roman"/>
        </w:rPr>
        <w:t xml:space="preserve"> Zie https://www.mckinsey.com/industries/logistics/our-insights/the-multi-billion-dollar-paper-jam-unlocking-trade-by-digitalizing-documentation#/.</w:t>
      </w:r>
    </w:p>
  </w:footnote>
  <w:footnote w:id="6">
    <w:p w14:paraId="4DC8D2C8" w14:textId="6AB4DD34" w:rsidR="007035B5" w:rsidRPr="0035791A" w:rsidRDefault="007035B5">
      <w:pPr>
        <w:pStyle w:val="Voetnoottekst"/>
        <w:rPr>
          <w:rFonts w:ascii="Times New Roman" w:hAnsi="Times New Roman" w:cs="Times New Roman"/>
        </w:rPr>
      </w:pPr>
      <w:r w:rsidRPr="0035791A">
        <w:rPr>
          <w:rStyle w:val="Voetnootmarkering"/>
          <w:rFonts w:ascii="Times New Roman" w:hAnsi="Times New Roman" w:cs="Times New Roman"/>
        </w:rPr>
        <w:footnoteRef/>
      </w:r>
      <w:r w:rsidRPr="0035791A">
        <w:rPr>
          <w:rFonts w:ascii="Times New Roman" w:hAnsi="Times New Roman" w:cs="Times New Roman"/>
        </w:rPr>
        <w:t xml:space="preserve"> Zie de Rijksbrede handreiking invoeringstoets, blz. 4.</w:t>
      </w:r>
    </w:p>
  </w:footnote>
  <w:footnote w:id="7">
    <w:p w14:paraId="1F6F7CA5" w14:textId="73D60020" w:rsidR="009305C7" w:rsidRPr="0035791A" w:rsidRDefault="009305C7">
      <w:pPr>
        <w:pStyle w:val="Voetnoottekst"/>
        <w:rPr>
          <w:rFonts w:ascii="Times New Roman" w:hAnsi="Times New Roman" w:cs="Times New Roman"/>
        </w:rPr>
      </w:pPr>
      <w:r w:rsidRPr="0035791A">
        <w:rPr>
          <w:rStyle w:val="Voetnootmarkering"/>
          <w:rFonts w:ascii="Times New Roman" w:hAnsi="Times New Roman" w:cs="Times New Roman"/>
        </w:rPr>
        <w:footnoteRef/>
      </w:r>
      <w:r w:rsidRPr="0035791A">
        <w:rPr>
          <w:rFonts w:ascii="Times New Roman" w:hAnsi="Times New Roman" w:cs="Times New Roman"/>
        </w:rPr>
        <w:t xml:space="preserve"> Zie Aanwijzing 5.58 Evaluatiebepaling.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1347B"/>
    <w:multiLevelType w:val="hybridMultilevel"/>
    <w:tmpl w:val="950098F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44068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402AD1"/>
    <w:rsid w:val="0000010B"/>
    <w:rsid w:val="000256F2"/>
    <w:rsid w:val="00061143"/>
    <w:rsid w:val="0008315A"/>
    <w:rsid w:val="00097BE8"/>
    <w:rsid w:val="000A1324"/>
    <w:rsid w:val="000C0C41"/>
    <w:rsid w:val="000C2A21"/>
    <w:rsid w:val="000C7E23"/>
    <w:rsid w:val="000C7F4E"/>
    <w:rsid w:val="000D2006"/>
    <w:rsid w:val="000E4EB8"/>
    <w:rsid w:val="00106E78"/>
    <w:rsid w:val="001167DE"/>
    <w:rsid w:val="00123F7C"/>
    <w:rsid w:val="001267B4"/>
    <w:rsid w:val="00130A1D"/>
    <w:rsid w:val="001344B1"/>
    <w:rsid w:val="001368B2"/>
    <w:rsid w:val="00153296"/>
    <w:rsid w:val="001536AE"/>
    <w:rsid w:val="00153CE2"/>
    <w:rsid w:val="001619B5"/>
    <w:rsid w:val="001733F1"/>
    <w:rsid w:val="00181C15"/>
    <w:rsid w:val="00184440"/>
    <w:rsid w:val="00196316"/>
    <w:rsid w:val="001B541A"/>
    <w:rsid w:val="001B67FD"/>
    <w:rsid w:val="001C26D8"/>
    <w:rsid w:val="001D1925"/>
    <w:rsid w:val="001E3093"/>
    <w:rsid w:val="001E7113"/>
    <w:rsid w:val="001F1075"/>
    <w:rsid w:val="001F2C0B"/>
    <w:rsid w:val="001F3393"/>
    <w:rsid w:val="00200091"/>
    <w:rsid w:val="0020613A"/>
    <w:rsid w:val="002074B0"/>
    <w:rsid w:val="00207AC9"/>
    <w:rsid w:val="00212444"/>
    <w:rsid w:val="00216D44"/>
    <w:rsid w:val="00230407"/>
    <w:rsid w:val="00231095"/>
    <w:rsid w:val="002334DF"/>
    <w:rsid w:val="00254D1E"/>
    <w:rsid w:val="00254DB2"/>
    <w:rsid w:val="00256948"/>
    <w:rsid w:val="00266C67"/>
    <w:rsid w:val="00272213"/>
    <w:rsid w:val="00297B40"/>
    <w:rsid w:val="002A5079"/>
    <w:rsid w:val="002B6666"/>
    <w:rsid w:val="002E241F"/>
    <w:rsid w:val="002E74EE"/>
    <w:rsid w:val="002F302A"/>
    <w:rsid w:val="002F4A69"/>
    <w:rsid w:val="00302D32"/>
    <w:rsid w:val="00317098"/>
    <w:rsid w:val="0035300D"/>
    <w:rsid w:val="00353600"/>
    <w:rsid w:val="0035791A"/>
    <w:rsid w:val="0036509A"/>
    <w:rsid w:val="003768DE"/>
    <w:rsid w:val="00380D55"/>
    <w:rsid w:val="0038119A"/>
    <w:rsid w:val="00384CE4"/>
    <w:rsid w:val="003A3FA8"/>
    <w:rsid w:val="003B76C6"/>
    <w:rsid w:val="003D01A1"/>
    <w:rsid w:val="003D1C38"/>
    <w:rsid w:val="0040517C"/>
    <w:rsid w:val="00414B0C"/>
    <w:rsid w:val="004176A2"/>
    <w:rsid w:val="00417F7D"/>
    <w:rsid w:val="00424EE1"/>
    <w:rsid w:val="00430B3E"/>
    <w:rsid w:val="00434C26"/>
    <w:rsid w:val="00450A55"/>
    <w:rsid w:val="004563DA"/>
    <w:rsid w:val="00461FBD"/>
    <w:rsid w:val="00470D2F"/>
    <w:rsid w:val="00484220"/>
    <w:rsid w:val="004C3C26"/>
    <w:rsid w:val="004D040B"/>
    <w:rsid w:val="004D0E8E"/>
    <w:rsid w:val="004D1DDE"/>
    <w:rsid w:val="004D54DD"/>
    <w:rsid w:val="004D6BD8"/>
    <w:rsid w:val="004F00B4"/>
    <w:rsid w:val="004F0E2F"/>
    <w:rsid w:val="004F1597"/>
    <w:rsid w:val="0050357B"/>
    <w:rsid w:val="00504277"/>
    <w:rsid w:val="005066ED"/>
    <w:rsid w:val="00516082"/>
    <w:rsid w:val="00516208"/>
    <w:rsid w:val="005200E9"/>
    <w:rsid w:val="00523243"/>
    <w:rsid w:val="005266BE"/>
    <w:rsid w:val="00540E5B"/>
    <w:rsid w:val="00543041"/>
    <w:rsid w:val="00546FA8"/>
    <w:rsid w:val="005566B1"/>
    <w:rsid w:val="00562186"/>
    <w:rsid w:val="005653AF"/>
    <w:rsid w:val="00573147"/>
    <w:rsid w:val="00583CE4"/>
    <w:rsid w:val="005A09DC"/>
    <w:rsid w:val="005A1E63"/>
    <w:rsid w:val="005A78E4"/>
    <w:rsid w:val="005F03A1"/>
    <w:rsid w:val="005F78C8"/>
    <w:rsid w:val="006010A8"/>
    <w:rsid w:val="00606D17"/>
    <w:rsid w:val="00606D68"/>
    <w:rsid w:val="00615AE1"/>
    <w:rsid w:val="00616380"/>
    <w:rsid w:val="006228E7"/>
    <w:rsid w:val="00637A61"/>
    <w:rsid w:val="006849A1"/>
    <w:rsid w:val="00694943"/>
    <w:rsid w:val="006960A6"/>
    <w:rsid w:val="00696594"/>
    <w:rsid w:val="006A1BB6"/>
    <w:rsid w:val="006A2AB8"/>
    <w:rsid w:val="006A2DFA"/>
    <w:rsid w:val="006D422C"/>
    <w:rsid w:val="006F3638"/>
    <w:rsid w:val="006F6ACC"/>
    <w:rsid w:val="00700030"/>
    <w:rsid w:val="00702008"/>
    <w:rsid w:val="007024C9"/>
    <w:rsid w:val="007035B5"/>
    <w:rsid w:val="0070475F"/>
    <w:rsid w:val="00711D53"/>
    <w:rsid w:val="00717416"/>
    <w:rsid w:val="0072354B"/>
    <w:rsid w:val="00723663"/>
    <w:rsid w:val="00742528"/>
    <w:rsid w:val="00766C81"/>
    <w:rsid w:val="00774AEA"/>
    <w:rsid w:val="00776A77"/>
    <w:rsid w:val="0078147C"/>
    <w:rsid w:val="00795690"/>
    <w:rsid w:val="00797C1D"/>
    <w:rsid w:val="007B1DDA"/>
    <w:rsid w:val="007C6EED"/>
    <w:rsid w:val="007F4B4B"/>
    <w:rsid w:val="00804DD0"/>
    <w:rsid w:val="008218E4"/>
    <w:rsid w:val="008256D8"/>
    <w:rsid w:val="00835CD2"/>
    <w:rsid w:val="008402A6"/>
    <w:rsid w:val="0084396E"/>
    <w:rsid w:val="00844E28"/>
    <w:rsid w:val="00847086"/>
    <w:rsid w:val="00847ED2"/>
    <w:rsid w:val="00861EF2"/>
    <w:rsid w:val="0086368B"/>
    <w:rsid w:val="00864316"/>
    <w:rsid w:val="00871C2B"/>
    <w:rsid w:val="008723AD"/>
    <w:rsid w:val="00873B5E"/>
    <w:rsid w:val="00883FBA"/>
    <w:rsid w:val="008929CC"/>
    <w:rsid w:val="008952B3"/>
    <w:rsid w:val="008A2387"/>
    <w:rsid w:val="008A595C"/>
    <w:rsid w:val="008C2BCB"/>
    <w:rsid w:val="008E08F1"/>
    <w:rsid w:val="008E1247"/>
    <w:rsid w:val="009305C7"/>
    <w:rsid w:val="00931E9D"/>
    <w:rsid w:val="009325AD"/>
    <w:rsid w:val="00942F91"/>
    <w:rsid w:val="00950A2C"/>
    <w:rsid w:val="009543B7"/>
    <w:rsid w:val="00976E99"/>
    <w:rsid w:val="009A0345"/>
    <w:rsid w:val="009B0809"/>
    <w:rsid w:val="009B6580"/>
    <w:rsid w:val="009C396E"/>
    <w:rsid w:val="009E41E4"/>
    <w:rsid w:val="009F16EB"/>
    <w:rsid w:val="009F3C3C"/>
    <w:rsid w:val="00A07012"/>
    <w:rsid w:val="00A10F39"/>
    <w:rsid w:val="00A21E62"/>
    <w:rsid w:val="00A425F6"/>
    <w:rsid w:val="00A42629"/>
    <w:rsid w:val="00A43A6F"/>
    <w:rsid w:val="00A531F5"/>
    <w:rsid w:val="00A56319"/>
    <w:rsid w:val="00A7252C"/>
    <w:rsid w:val="00A75BAB"/>
    <w:rsid w:val="00A76A53"/>
    <w:rsid w:val="00A77364"/>
    <w:rsid w:val="00A82B67"/>
    <w:rsid w:val="00AA10C6"/>
    <w:rsid w:val="00AA632D"/>
    <w:rsid w:val="00AA7746"/>
    <w:rsid w:val="00AC0744"/>
    <w:rsid w:val="00AE7225"/>
    <w:rsid w:val="00AF5D5C"/>
    <w:rsid w:val="00AF6575"/>
    <w:rsid w:val="00B12B7D"/>
    <w:rsid w:val="00B12F86"/>
    <w:rsid w:val="00B145D3"/>
    <w:rsid w:val="00B30410"/>
    <w:rsid w:val="00B30A7C"/>
    <w:rsid w:val="00B30DFB"/>
    <w:rsid w:val="00B33786"/>
    <w:rsid w:val="00B348A5"/>
    <w:rsid w:val="00B53749"/>
    <w:rsid w:val="00B62EA8"/>
    <w:rsid w:val="00B63FB0"/>
    <w:rsid w:val="00B7034E"/>
    <w:rsid w:val="00B72B8E"/>
    <w:rsid w:val="00B9330E"/>
    <w:rsid w:val="00BA213F"/>
    <w:rsid w:val="00BB37DC"/>
    <w:rsid w:val="00BC56CE"/>
    <w:rsid w:val="00BC64A7"/>
    <w:rsid w:val="00BD1C1A"/>
    <w:rsid w:val="00BE3D98"/>
    <w:rsid w:val="00BF78B8"/>
    <w:rsid w:val="00C02195"/>
    <w:rsid w:val="00C12413"/>
    <w:rsid w:val="00C3364E"/>
    <w:rsid w:val="00C4656C"/>
    <w:rsid w:val="00C47C3E"/>
    <w:rsid w:val="00C535C7"/>
    <w:rsid w:val="00C70111"/>
    <w:rsid w:val="00C82789"/>
    <w:rsid w:val="00C836F1"/>
    <w:rsid w:val="00C953C8"/>
    <w:rsid w:val="00CA47D5"/>
    <w:rsid w:val="00CA6980"/>
    <w:rsid w:val="00CC17F9"/>
    <w:rsid w:val="00CC2787"/>
    <w:rsid w:val="00CC7E41"/>
    <w:rsid w:val="00CF4207"/>
    <w:rsid w:val="00D27CBB"/>
    <w:rsid w:val="00D364CB"/>
    <w:rsid w:val="00D552A9"/>
    <w:rsid w:val="00D60328"/>
    <w:rsid w:val="00D66131"/>
    <w:rsid w:val="00D85207"/>
    <w:rsid w:val="00D9074F"/>
    <w:rsid w:val="00D95A63"/>
    <w:rsid w:val="00DA265B"/>
    <w:rsid w:val="00DA5542"/>
    <w:rsid w:val="00DA5CBF"/>
    <w:rsid w:val="00DA6129"/>
    <w:rsid w:val="00DA6613"/>
    <w:rsid w:val="00DC0C02"/>
    <w:rsid w:val="00DC7149"/>
    <w:rsid w:val="00DD1A1B"/>
    <w:rsid w:val="00DD39F1"/>
    <w:rsid w:val="00DD3C23"/>
    <w:rsid w:val="00DF1FA6"/>
    <w:rsid w:val="00DF6734"/>
    <w:rsid w:val="00E01EAC"/>
    <w:rsid w:val="00E02D63"/>
    <w:rsid w:val="00E17412"/>
    <w:rsid w:val="00E2775B"/>
    <w:rsid w:val="00E40BF1"/>
    <w:rsid w:val="00E43AB7"/>
    <w:rsid w:val="00E44747"/>
    <w:rsid w:val="00E66B28"/>
    <w:rsid w:val="00E705B8"/>
    <w:rsid w:val="00E91B84"/>
    <w:rsid w:val="00EA6EBD"/>
    <w:rsid w:val="00EC1296"/>
    <w:rsid w:val="00EC432E"/>
    <w:rsid w:val="00ED041C"/>
    <w:rsid w:val="00ED40CD"/>
    <w:rsid w:val="00ED6848"/>
    <w:rsid w:val="00ED720E"/>
    <w:rsid w:val="00EE67C2"/>
    <w:rsid w:val="00EE7522"/>
    <w:rsid w:val="00EE7585"/>
    <w:rsid w:val="00EF5652"/>
    <w:rsid w:val="00EF7F86"/>
    <w:rsid w:val="00F07FC8"/>
    <w:rsid w:val="00F24FC5"/>
    <w:rsid w:val="00F30AEA"/>
    <w:rsid w:val="00F42F11"/>
    <w:rsid w:val="00F56CF4"/>
    <w:rsid w:val="00F640C0"/>
    <w:rsid w:val="00F65EC5"/>
    <w:rsid w:val="00F67EC9"/>
    <w:rsid w:val="00F7110D"/>
    <w:rsid w:val="00F71E2B"/>
    <w:rsid w:val="00F72BE4"/>
    <w:rsid w:val="00F74208"/>
    <w:rsid w:val="00F76350"/>
    <w:rsid w:val="00F80DA3"/>
    <w:rsid w:val="00F819AE"/>
    <w:rsid w:val="00F82744"/>
    <w:rsid w:val="00F92D01"/>
    <w:rsid w:val="00F93F4A"/>
    <w:rsid w:val="00FB052E"/>
    <w:rsid w:val="00FB4D10"/>
    <w:rsid w:val="00FB57AF"/>
    <w:rsid w:val="00FB58E8"/>
    <w:rsid w:val="00FC5E02"/>
    <w:rsid w:val="00FF2615"/>
    <w:rsid w:val="00FF655A"/>
    <w:rsid w:val="00FF6A3A"/>
    <w:rsid w:val="24402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2AD1"/>
  <w15:chartTrackingRefBased/>
  <w15:docId w15:val="{7E0DC0CC-9A8F-4099-86CE-604E0097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44E28"/>
    <w:pPr>
      <w:autoSpaceDE w:val="0"/>
      <w:autoSpaceDN w:val="0"/>
      <w:adjustRightInd w:val="0"/>
      <w:spacing w:after="0" w:line="240" w:lineRule="auto"/>
    </w:pPr>
    <w:rPr>
      <w:rFonts w:ascii="LGCLC P+ Univers" w:eastAsia="Times New Roman" w:hAnsi="LGCLC P+ Univers" w:cs="LGCLC P+ Univers"/>
      <w:color w:val="000000"/>
      <w:sz w:val="24"/>
      <w:szCs w:val="24"/>
      <w:lang w:eastAsia="nl-NL"/>
    </w:rPr>
  </w:style>
  <w:style w:type="paragraph" w:styleId="Lijstalinea">
    <w:name w:val="List Paragraph"/>
    <w:basedOn w:val="Standaard"/>
    <w:uiPriority w:val="34"/>
    <w:qFormat/>
    <w:rsid w:val="00844E28"/>
    <w:pPr>
      <w:ind w:left="720"/>
      <w:contextualSpacing/>
    </w:pPr>
  </w:style>
  <w:style w:type="paragraph" w:styleId="Geenafstand">
    <w:name w:val="No Spacing"/>
    <w:uiPriority w:val="1"/>
    <w:qFormat/>
    <w:rsid w:val="00844E28"/>
    <w:pPr>
      <w:spacing w:after="0" w:line="240" w:lineRule="auto"/>
    </w:pPr>
  </w:style>
  <w:style w:type="paragraph" w:styleId="Koptekst">
    <w:name w:val="header"/>
    <w:basedOn w:val="Standaard"/>
    <w:link w:val="KoptekstChar"/>
    <w:uiPriority w:val="99"/>
    <w:unhideWhenUsed/>
    <w:rsid w:val="002B66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6666"/>
  </w:style>
  <w:style w:type="paragraph" w:styleId="Voettekst">
    <w:name w:val="footer"/>
    <w:basedOn w:val="Standaard"/>
    <w:link w:val="VoettekstChar"/>
    <w:uiPriority w:val="99"/>
    <w:unhideWhenUsed/>
    <w:rsid w:val="002B66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6666"/>
  </w:style>
  <w:style w:type="paragraph" w:styleId="Revisie">
    <w:name w:val="Revision"/>
    <w:hidden/>
    <w:uiPriority w:val="99"/>
    <w:semiHidden/>
    <w:rsid w:val="009E41E4"/>
    <w:pPr>
      <w:spacing w:after="0" w:line="240" w:lineRule="auto"/>
    </w:pPr>
  </w:style>
  <w:style w:type="character" w:styleId="Verwijzingopmerking">
    <w:name w:val="annotation reference"/>
    <w:basedOn w:val="Standaardalinea-lettertype"/>
    <w:uiPriority w:val="99"/>
    <w:semiHidden/>
    <w:unhideWhenUsed/>
    <w:rsid w:val="009E41E4"/>
    <w:rPr>
      <w:sz w:val="16"/>
      <w:szCs w:val="16"/>
    </w:rPr>
  </w:style>
  <w:style w:type="paragraph" w:styleId="Tekstopmerking">
    <w:name w:val="annotation text"/>
    <w:basedOn w:val="Standaard"/>
    <w:link w:val="TekstopmerkingChar"/>
    <w:uiPriority w:val="99"/>
    <w:unhideWhenUsed/>
    <w:rsid w:val="009E41E4"/>
    <w:pPr>
      <w:spacing w:line="240" w:lineRule="auto"/>
    </w:pPr>
    <w:rPr>
      <w:sz w:val="20"/>
      <w:szCs w:val="20"/>
    </w:rPr>
  </w:style>
  <w:style w:type="character" w:customStyle="1" w:styleId="TekstopmerkingChar">
    <w:name w:val="Tekst opmerking Char"/>
    <w:basedOn w:val="Standaardalinea-lettertype"/>
    <w:link w:val="Tekstopmerking"/>
    <w:uiPriority w:val="99"/>
    <w:rsid w:val="009E41E4"/>
    <w:rPr>
      <w:sz w:val="20"/>
      <w:szCs w:val="20"/>
    </w:rPr>
  </w:style>
  <w:style w:type="paragraph" w:styleId="Onderwerpvanopmerking">
    <w:name w:val="annotation subject"/>
    <w:basedOn w:val="Tekstopmerking"/>
    <w:next w:val="Tekstopmerking"/>
    <w:link w:val="OnderwerpvanopmerkingChar"/>
    <w:uiPriority w:val="99"/>
    <w:semiHidden/>
    <w:unhideWhenUsed/>
    <w:rsid w:val="009E41E4"/>
    <w:rPr>
      <w:b/>
      <w:bCs/>
    </w:rPr>
  </w:style>
  <w:style w:type="character" w:customStyle="1" w:styleId="OnderwerpvanopmerkingChar">
    <w:name w:val="Onderwerp van opmerking Char"/>
    <w:basedOn w:val="TekstopmerkingChar"/>
    <w:link w:val="Onderwerpvanopmerking"/>
    <w:uiPriority w:val="99"/>
    <w:semiHidden/>
    <w:rsid w:val="009E41E4"/>
    <w:rPr>
      <w:b/>
      <w:bCs/>
      <w:sz w:val="20"/>
      <w:szCs w:val="20"/>
    </w:rPr>
  </w:style>
  <w:style w:type="character" w:styleId="Hyperlink">
    <w:name w:val="Hyperlink"/>
    <w:basedOn w:val="Standaardalinea-lettertype"/>
    <w:uiPriority w:val="99"/>
    <w:unhideWhenUsed/>
    <w:rsid w:val="0038119A"/>
    <w:rPr>
      <w:color w:val="0563C1" w:themeColor="hyperlink"/>
      <w:u w:val="single"/>
    </w:rPr>
  </w:style>
  <w:style w:type="character" w:styleId="Onopgelostemelding">
    <w:name w:val="Unresolved Mention"/>
    <w:basedOn w:val="Standaardalinea-lettertype"/>
    <w:uiPriority w:val="99"/>
    <w:semiHidden/>
    <w:unhideWhenUsed/>
    <w:rsid w:val="0038119A"/>
    <w:rPr>
      <w:color w:val="605E5C"/>
      <w:shd w:val="clear" w:color="auto" w:fill="E1DFDD"/>
    </w:rPr>
  </w:style>
  <w:style w:type="paragraph" w:styleId="Voetnoottekst">
    <w:name w:val="footnote text"/>
    <w:basedOn w:val="Standaard"/>
    <w:link w:val="VoetnoottekstChar"/>
    <w:uiPriority w:val="99"/>
    <w:semiHidden/>
    <w:unhideWhenUsed/>
    <w:rsid w:val="00E4474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44747"/>
    <w:rPr>
      <w:sz w:val="20"/>
      <w:szCs w:val="20"/>
    </w:rPr>
  </w:style>
  <w:style w:type="character" w:styleId="Voetnootmarkering">
    <w:name w:val="footnote reference"/>
    <w:basedOn w:val="Standaardalinea-lettertype"/>
    <w:uiPriority w:val="99"/>
    <w:semiHidden/>
    <w:unhideWhenUsed/>
    <w:rsid w:val="00E44747"/>
    <w:rPr>
      <w:vertAlign w:val="superscript"/>
    </w:rPr>
  </w:style>
  <w:style w:type="character" w:styleId="GevolgdeHyperlink">
    <w:name w:val="FollowedHyperlink"/>
    <w:basedOn w:val="Standaardalinea-lettertype"/>
    <w:uiPriority w:val="99"/>
    <w:semiHidden/>
    <w:unhideWhenUsed/>
    <w:rsid w:val="00461F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746483">
      <w:bodyDiv w:val="1"/>
      <w:marLeft w:val="0"/>
      <w:marRight w:val="0"/>
      <w:marTop w:val="0"/>
      <w:marBottom w:val="0"/>
      <w:divBdr>
        <w:top w:val="none" w:sz="0" w:space="0" w:color="auto"/>
        <w:left w:val="none" w:sz="0" w:space="0" w:color="auto"/>
        <w:bottom w:val="none" w:sz="0" w:space="0" w:color="auto"/>
        <w:right w:val="none" w:sz="0" w:space="0" w:color="auto"/>
      </w:divBdr>
    </w:div>
    <w:div w:id="21385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4791</ap:Words>
  <ap:Characters>26356</ap:Characters>
  <ap:DocSecurity>0</ap:DocSecurity>
  <ap:Lines>219</ap:Lines>
  <ap:Paragraphs>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2025-10-15T13:18:00.0000000Z</dcterms:created>
  <dcterms:modified xsi:type="dcterms:W3CDTF">2025-10-15T13:18:00.0000000Z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6b9ca72e-0e8c-4133-916a-6014ff4fd166</vt:lpwstr>
  </property>
</Properties>
</file>