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42F28" w14:paraId="6C2ECD27" w14:textId="760F30F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FA71B3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F42F28" w:rsidR="00F42F28">
              <w:t xml:space="preserve">het krantenartikel 'Hoe minister </w:t>
            </w:r>
            <w:proofErr w:type="spellStart"/>
            <w:r w:rsidRPr="00F42F28" w:rsidR="00F42F28">
              <w:t>Yesilgöz</w:t>
            </w:r>
            <w:proofErr w:type="spellEnd"/>
            <w:r w:rsidRPr="00F42F28" w:rsidR="00F42F28">
              <w:t xml:space="preserve"> in 2022 KPMG inschakelde en interne juristen omzeild werden in de crisis rond Ter Apel'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F42F28" w14:paraId="2A2BBFB1" w14:textId="75DA486F">
            <w:pPr>
              <w:pStyle w:val="referentiegegevens"/>
            </w:pPr>
            <w:r>
              <w:t>6756572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42F28" w:rsidR="00F42F28" w:rsidP="00F42F28" w:rsidRDefault="00F42F28" w14:paraId="05A12DC4" w14:textId="568F56C3">
            <w:pPr>
              <w:pStyle w:val="referentiegegevens"/>
            </w:pPr>
            <w:r w:rsidRPr="00F42F28">
              <w:t>2025Z17309</w:t>
            </w:r>
          </w:p>
          <w:p w:rsidR="00C6487D" w:rsidP="00133AE9" w:rsidRDefault="00C6487D" w14:paraId="7E785020" w14:textId="1BACFDBF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383211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42F28">
        <w:rPr>
          <w:rFonts w:cs="Utopia"/>
          <w:color w:val="000000"/>
        </w:rPr>
        <w:t>het lid</w:t>
      </w:r>
      <w:r w:rsidR="00F64F6A">
        <w:t xml:space="preserve"> </w:t>
      </w:r>
      <w:r w:rsidRPr="00F42F28" w:rsidR="00F42F28">
        <w:rPr>
          <w:rFonts w:cs="Utopia"/>
          <w:color w:val="000000"/>
        </w:rPr>
        <w:t>Koops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42F28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F42F28" w:rsidR="00F42F28">
        <w:rPr>
          <w:rFonts w:cs="Utopia"/>
          <w:color w:val="000000"/>
        </w:rPr>
        <w:t xml:space="preserve">het krantenartikel 'Hoe minister </w:t>
      </w:r>
      <w:proofErr w:type="spellStart"/>
      <w:r w:rsidRPr="00F42F28" w:rsidR="00F42F28">
        <w:rPr>
          <w:rFonts w:cs="Utopia"/>
          <w:color w:val="000000"/>
        </w:rPr>
        <w:t>Yesilgöz</w:t>
      </w:r>
      <w:proofErr w:type="spellEnd"/>
      <w:r w:rsidRPr="00F42F28" w:rsidR="00F42F28">
        <w:rPr>
          <w:rFonts w:cs="Utopia"/>
          <w:color w:val="000000"/>
        </w:rPr>
        <w:t xml:space="preserve"> in 2022 KPMG inschakelde en interne juristen omzeild werden in de crisis rond Ter Apel'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42F28">
        <w:t>19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F76DE0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42F28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F42F28" w14:paraId="6B6473DD" w14:textId="2BD7E4EF">
          <w:pPr>
            <w:pStyle w:val="broodtekst"/>
            <w:rPr>
              <w:szCs w:val="24"/>
            </w:rPr>
          </w:pPr>
          <w:proofErr w:type="spellStart"/>
          <w:r>
            <w:t>Foort</w:t>
          </w:r>
          <w:proofErr w:type="spellEnd"/>
          <w:r>
            <w:t xml:space="preserve"> van Oosten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DCBC" w14:textId="77777777" w:rsidR="00E62321" w:rsidRDefault="00E62321">
      <w:r>
        <w:separator/>
      </w:r>
    </w:p>
    <w:p w14:paraId="270309AA" w14:textId="77777777" w:rsidR="00E62321" w:rsidRDefault="00E62321"/>
    <w:p w14:paraId="3A9691C7" w14:textId="77777777" w:rsidR="00E62321" w:rsidRDefault="00E62321"/>
    <w:p w14:paraId="3D636306" w14:textId="77777777" w:rsidR="00E62321" w:rsidRDefault="00E62321"/>
  </w:endnote>
  <w:endnote w:type="continuationSeparator" w:id="0">
    <w:p w14:paraId="68503C22" w14:textId="77777777" w:rsidR="00E62321" w:rsidRDefault="00E62321">
      <w:r>
        <w:continuationSeparator/>
      </w:r>
    </w:p>
    <w:p w14:paraId="691FE407" w14:textId="77777777" w:rsidR="00E62321" w:rsidRDefault="00E62321"/>
    <w:p w14:paraId="077BCE2B" w14:textId="77777777" w:rsidR="00E62321" w:rsidRDefault="00E62321"/>
    <w:p w14:paraId="33A0F122" w14:textId="77777777" w:rsidR="00E62321" w:rsidRDefault="00E62321"/>
  </w:endnote>
  <w:endnote w:type="continuationNotice" w:id="1">
    <w:p w14:paraId="42AD250B" w14:textId="77777777" w:rsidR="00E62321" w:rsidRDefault="00E623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86F2" w14:textId="77777777" w:rsidR="00E62321" w:rsidRDefault="00E62321">
      <w:r>
        <w:separator/>
      </w:r>
    </w:p>
  </w:footnote>
  <w:footnote w:type="continuationSeparator" w:id="0">
    <w:p w14:paraId="36B9C45A" w14:textId="77777777" w:rsidR="00E62321" w:rsidRDefault="00E62321">
      <w:r>
        <w:continuationSeparator/>
      </w:r>
    </w:p>
  </w:footnote>
  <w:footnote w:type="continuationNotice" w:id="1">
    <w:p w14:paraId="3644B899" w14:textId="77777777" w:rsidR="00E62321" w:rsidRDefault="00E623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37901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336"/>
    <w:rsid w:val="00257B86"/>
    <w:rsid w:val="002601F6"/>
    <w:rsid w:val="00261371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33373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2321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42F28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601F6"/>
    <w:rsid w:val="0043578E"/>
    <w:rsid w:val="00697C3D"/>
    <w:rsid w:val="00806070"/>
    <w:rsid w:val="00AB22D2"/>
    <w:rsid w:val="00C41B43"/>
    <w:rsid w:val="00C451FC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1224</ap:Characters>
  <ap:DocSecurity>0</ap:DocSecurity>
  <ap:Lines>10</ap:Lines>
  <ap:Paragraphs>2</ap:Paragraphs>
  <ap:ScaleCrop>false</ap:ScaleCrop>
  <ap:LinksUpToDate>false</ap:LinksUpToDate>
  <ap:CharactersWithSpaces>1444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2025-10-10T14:32:00.0000000Z</dcterms:created>
  <dcterms:modified xsi:type="dcterms:W3CDTF">2025-10-10T14:32:00.0000000Z</dcterms:modified>
  <category/>
  <dc:description>------------------------</dc:description>
  <version/>
</coreProperties>
</file>