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A597A" w:rsidR="009A05D7" w:rsidP="009A597A" w:rsidRDefault="005E0B7A" w14:paraId="3D21A247" w14:textId="0E9DC84B">
      <w:pPr>
        <w:spacing w:after="160" w:line="240" w:lineRule="auto"/>
        <w:rPr>
          <w:rFonts w:ascii="Calibri" w:hAnsi="Calibri" w:cs="Calibri"/>
          <w:szCs w:val="22"/>
        </w:rPr>
      </w:pPr>
      <w:bookmarkStart w:name="OLE_LINK1" w:id="0"/>
      <w:bookmarkStart w:name="OLE_LINK2" w:id="1"/>
      <w:r w:rsidRPr="009A597A">
        <w:rPr>
          <w:rFonts w:ascii="Calibri" w:hAnsi="Calibri" w:cs="Calibri"/>
          <w:bCs/>
          <w:szCs w:val="22"/>
        </w:rPr>
        <w:t>22</w:t>
      </w:r>
      <w:r w:rsidRPr="009A597A" w:rsidR="00D53145">
        <w:rPr>
          <w:rFonts w:ascii="Calibri" w:hAnsi="Calibri" w:cs="Calibri"/>
          <w:bCs/>
          <w:szCs w:val="22"/>
        </w:rPr>
        <w:t xml:space="preserve"> </w:t>
      </w:r>
      <w:r w:rsidRPr="009A597A">
        <w:rPr>
          <w:rFonts w:ascii="Calibri" w:hAnsi="Calibri" w:cs="Calibri"/>
          <w:bCs/>
          <w:szCs w:val="22"/>
        </w:rPr>
        <w:t>112</w:t>
      </w:r>
      <w:r w:rsidRPr="009A597A" w:rsidR="009A05D7">
        <w:rPr>
          <w:rFonts w:ascii="Calibri" w:hAnsi="Calibri" w:cs="Calibri"/>
          <w:bCs/>
          <w:szCs w:val="22"/>
        </w:rPr>
        <w:tab/>
      </w:r>
      <w:r w:rsidRPr="009A597A" w:rsidR="009A05D7">
        <w:rPr>
          <w:rFonts w:ascii="Calibri" w:hAnsi="Calibri" w:cs="Calibri"/>
          <w:bCs/>
          <w:szCs w:val="22"/>
        </w:rPr>
        <w:tab/>
      </w:r>
      <w:r w:rsidRPr="009A597A" w:rsidR="009A05D7">
        <w:rPr>
          <w:rFonts w:ascii="Calibri" w:hAnsi="Calibri" w:cs="Calibri"/>
          <w:szCs w:val="22"/>
        </w:rPr>
        <w:t>Nieuwe Commissievoorstellen en initiatieven van de lidstaten van de Europese Unie</w:t>
      </w:r>
    </w:p>
    <w:p w:rsidRPr="009A597A" w:rsidR="009A05D7" w:rsidP="009A597A" w:rsidRDefault="009A05D7" w14:paraId="59BF7EF4" w14:textId="77777777">
      <w:pPr>
        <w:spacing w:after="160" w:line="240" w:lineRule="auto"/>
        <w:rPr>
          <w:rFonts w:ascii="Calibri" w:hAnsi="Calibri" w:cs="Calibri"/>
          <w:szCs w:val="22"/>
        </w:rPr>
      </w:pPr>
      <w:r w:rsidRPr="009A597A">
        <w:rPr>
          <w:rFonts w:ascii="Calibri" w:hAnsi="Calibri" w:cs="Calibri"/>
          <w:bCs/>
          <w:szCs w:val="22"/>
        </w:rPr>
        <w:t xml:space="preserve">Nr. </w:t>
      </w:r>
      <w:r w:rsidRPr="009A597A" w:rsidR="005E0B7A">
        <w:rPr>
          <w:rFonts w:ascii="Calibri" w:hAnsi="Calibri" w:cs="Calibri"/>
          <w:bCs/>
          <w:szCs w:val="22"/>
        </w:rPr>
        <w:t xml:space="preserve">4186 </w:t>
      </w:r>
      <w:r w:rsidRPr="009A597A">
        <w:rPr>
          <w:rFonts w:ascii="Calibri" w:hAnsi="Calibri" w:cs="Calibri"/>
          <w:bCs/>
          <w:szCs w:val="22"/>
        </w:rPr>
        <w:tab/>
        <w:t xml:space="preserve">Brief van de </w:t>
      </w:r>
      <w:r w:rsidRPr="009A597A">
        <w:rPr>
          <w:rFonts w:ascii="Calibri" w:hAnsi="Calibri" w:cs="Calibri"/>
          <w:szCs w:val="22"/>
        </w:rPr>
        <w:t>minister van Buitenlandse Zaken</w:t>
      </w:r>
    </w:p>
    <w:p w:rsidRPr="009A597A" w:rsidR="009A05D7" w:rsidP="009A597A" w:rsidRDefault="009A05D7" w14:paraId="4E0FD2D7" w14:textId="77777777">
      <w:pPr>
        <w:spacing w:after="160" w:line="240" w:lineRule="auto"/>
        <w:rPr>
          <w:rFonts w:ascii="Calibri" w:hAnsi="Calibri" w:cs="Calibri"/>
          <w:bCs/>
          <w:szCs w:val="22"/>
        </w:rPr>
      </w:pPr>
      <w:r w:rsidRPr="009A597A">
        <w:rPr>
          <w:rFonts w:ascii="Calibri" w:hAnsi="Calibri" w:cs="Calibri"/>
          <w:bCs/>
          <w:szCs w:val="22"/>
        </w:rPr>
        <w:t>Aan de Voorzitter van de Tweede Kamer der Staten-Generaal</w:t>
      </w:r>
    </w:p>
    <w:p w:rsidRPr="009A597A" w:rsidR="005E0B7A" w:rsidP="009A597A" w:rsidRDefault="009A05D7" w14:paraId="1CE1C962" w14:textId="48A17A50">
      <w:pPr>
        <w:spacing w:after="160" w:line="240" w:lineRule="auto"/>
        <w:rPr>
          <w:rFonts w:ascii="Calibri" w:hAnsi="Calibri" w:cs="Calibri"/>
          <w:bCs/>
          <w:szCs w:val="22"/>
        </w:rPr>
      </w:pPr>
      <w:r w:rsidRPr="009A597A">
        <w:rPr>
          <w:rFonts w:ascii="Calibri" w:hAnsi="Calibri" w:cs="Calibri"/>
          <w:bCs/>
          <w:szCs w:val="22"/>
        </w:rPr>
        <w:t>Den Haag, 10 oktober 2025</w:t>
      </w:r>
      <w:r w:rsidRPr="009A597A" w:rsidR="005E0B7A">
        <w:rPr>
          <w:rFonts w:ascii="Calibri" w:hAnsi="Calibri" w:cs="Calibri"/>
          <w:bCs/>
          <w:szCs w:val="22"/>
        </w:rPr>
        <w:br/>
      </w:r>
      <w:r w:rsidRPr="009A597A" w:rsidR="005E0B7A">
        <w:rPr>
          <w:rFonts w:ascii="Calibri" w:hAnsi="Calibri" w:cs="Calibri"/>
          <w:bCs/>
          <w:szCs w:val="22"/>
        </w:rPr>
        <w:br/>
        <w:t>Fiche: [MFK] Verordening tot inrichting van het justitieprogramma 2028-2034 en terugtrekken van verordening (EU) 2021/693</w:t>
      </w:r>
    </w:p>
    <w:p w:rsidRPr="009A597A" w:rsidR="005E0B7A" w:rsidP="009A597A" w:rsidRDefault="005E0B7A" w14:paraId="1CF772DF" w14:textId="77777777">
      <w:pPr>
        <w:spacing w:after="160" w:line="240" w:lineRule="auto"/>
        <w:rPr>
          <w:rFonts w:ascii="Calibri" w:hAnsi="Calibri" w:cs="Calibri"/>
          <w:bCs/>
          <w:szCs w:val="22"/>
        </w:rPr>
      </w:pPr>
      <w:r w:rsidRPr="009A597A">
        <w:rPr>
          <w:rFonts w:ascii="Calibri" w:hAnsi="Calibri" w:cs="Calibri"/>
          <w:bCs/>
          <w:szCs w:val="22"/>
        </w:rPr>
        <w:t xml:space="preserve">Fiche: [MFK] </w:t>
      </w:r>
      <w:r w:rsidRPr="009A597A">
        <w:rPr>
          <w:rFonts w:ascii="Calibri" w:hAnsi="Calibri" w:cs="Calibri"/>
          <w:szCs w:val="22"/>
        </w:rPr>
        <w:t>Landen en gebieden overzee (LGO)-besluit (Kamerstuk 22 112, nr. 4187)</w:t>
      </w:r>
    </w:p>
    <w:p w:rsidRPr="009A597A" w:rsidR="005E0B7A" w:rsidP="009A597A" w:rsidRDefault="005E0B7A" w14:paraId="5BFE8650" w14:textId="77777777">
      <w:pPr>
        <w:spacing w:after="160" w:line="240" w:lineRule="auto"/>
        <w:rPr>
          <w:rFonts w:ascii="Calibri" w:hAnsi="Calibri" w:cs="Calibri"/>
          <w:bCs/>
          <w:szCs w:val="22"/>
        </w:rPr>
      </w:pPr>
      <w:r w:rsidRPr="009A597A">
        <w:rPr>
          <w:rFonts w:ascii="Calibri" w:hAnsi="Calibri" w:cs="Calibri"/>
          <w:bCs/>
          <w:szCs w:val="22"/>
        </w:rPr>
        <w:t>Fiche: [MFK] Verordening Interne Markt en Douane Programma (Kamerstuk 22 112, nr. 4188)</w:t>
      </w:r>
    </w:p>
    <w:p w:rsidRPr="009A597A" w:rsidR="005E0B7A" w:rsidP="009A597A" w:rsidRDefault="005E0B7A" w14:paraId="4E7398D5" w14:textId="77777777">
      <w:pPr>
        <w:spacing w:after="160" w:line="240" w:lineRule="auto"/>
        <w:rPr>
          <w:rFonts w:ascii="Calibri" w:hAnsi="Calibri" w:cs="Calibri"/>
          <w:bCs/>
          <w:szCs w:val="22"/>
        </w:rPr>
      </w:pPr>
      <w:r w:rsidRPr="009A597A">
        <w:rPr>
          <w:rFonts w:ascii="Calibri" w:hAnsi="Calibri" w:cs="Calibri"/>
          <w:bCs/>
          <w:szCs w:val="22"/>
        </w:rPr>
        <w:t>Fiche: Verordeningen douanerechten en tariefcontingenten omtrent de invoer van bepaalde goederen vanuit de VS en het niet toepassen van douanerechten op de invoer van bepaalde goederen vanuit de VS (Kamerstuk 22 112, nr. 4189)</w:t>
      </w:r>
    </w:p>
    <w:p w:rsidRPr="009A597A" w:rsidR="005E0B7A" w:rsidP="009A597A" w:rsidRDefault="005E0B7A" w14:paraId="43BB0130" w14:textId="77777777">
      <w:pPr>
        <w:spacing w:after="160" w:line="240" w:lineRule="auto"/>
        <w:rPr>
          <w:rFonts w:ascii="Calibri" w:hAnsi="Calibri" w:cs="Calibri"/>
          <w:bCs/>
          <w:szCs w:val="22"/>
        </w:rPr>
      </w:pPr>
    </w:p>
    <w:p w:rsidRPr="009A597A" w:rsidR="005E0B7A" w:rsidP="009A597A" w:rsidRDefault="005E0B7A" w14:paraId="78297829" w14:textId="77777777">
      <w:pPr>
        <w:pStyle w:val="Geenafstand"/>
        <w:rPr>
          <w:rFonts w:ascii="Calibri" w:hAnsi="Calibri" w:cs="Calibri"/>
          <w:szCs w:val="22"/>
        </w:rPr>
      </w:pPr>
      <w:r w:rsidRPr="009A597A">
        <w:rPr>
          <w:rFonts w:ascii="Calibri" w:hAnsi="Calibri" w:cs="Calibri"/>
          <w:szCs w:val="22"/>
        </w:rPr>
        <w:t>De minister van Buitenlandse Zaken,</w:t>
      </w:r>
    </w:p>
    <w:p w:rsidRPr="009A597A" w:rsidR="005E0B7A" w:rsidP="009A597A" w:rsidRDefault="005E0B7A" w14:paraId="66CFAB4E" w14:textId="77777777">
      <w:pPr>
        <w:pStyle w:val="Geenafstand"/>
        <w:rPr>
          <w:rFonts w:ascii="Calibri" w:hAnsi="Calibri" w:cs="Calibri"/>
          <w:szCs w:val="22"/>
        </w:rPr>
      </w:pPr>
      <w:r w:rsidRPr="009A597A">
        <w:rPr>
          <w:rFonts w:ascii="Calibri" w:hAnsi="Calibri" w:cs="Calibri"/>
          <w:szCs w:val="22"/>
        </w:rPr>
        <w:t>D.M. van Weel</w:t>
      </w:r>
    </w:p>
    <w:p w:rsidRPr="009A597A" w:rsidR="005E0B7A" w:rsidP="009A597A" w:rsidRDefault="005E0B7A" w14:paraId="47EBB6A9" w14:textId="77777777">
      <w:pPr>
        <w:spacing w:after="160" w:line="240" w:lineRule="auto"/>
        <w:rPr>
          <w:rFonts w:ascii="Calibri" w:hAnsi="Calibri" w:cs="Calibri"/>
          <w:szCs w:val="22"/>
        </w:rPr>
      </w:pPr>
    </w:p>
    <w:p w:rsidRPr="009A597A" w:rsidR="009A597A" w:rsidP="009A597A" w:rsidRDefault="009A597A" w14:paraId="6C01101A" w14:textId="77777777">
      <w:pPr>
        <w:spacing w:after="160" w:line="240" w:lineRule="auto"/>
        <w:rPr>
          <w:rFonts w:ascii="Calibri" w:hAnsi="Calibri" w:cs="Calibri"/>
          <w:szCs w:val="22"/>
        </w:rPr>
      </w:pPr>
      <w:r w:rsidRPr="009A597A">
        <w:rPr>
          <w:rFonts w:ascii="Calibri" w:hAnsi="Calibri" w:cs="Calibri"/>
          <w:b/>
          <w:szCs w:val="22"/>
        </w:rPr>
        <w:br w:type="page"/>
      </w:r>
    </w:p>
    <w:p w:rsidRPr="009A597A" w:rsidR="009A3B1D" w:rsidP="009A597A" w:rsidRDefault="008C1E1C" w14:paraId="60160292" w14:textId="3B98B268">
      <w:pPr>
        <w:pStyle w:val="Kop1"/>
        <w:numPr>
          <w:ilvl w:val="0"/>
          <w:numId w:val="0"/>
        </w:numPr>
        <w:spacing w:before="0" w:after="160" w:line="240" w:lineRule="auto"/>
        <w:rPr>
          <w:rFonts w:ascii="Calibri" w:hAnsi="Calibri" w:cs="Calibri"/>
          <w:b w:val="0"/>
          <w:i/>
          <w:sz w:val="22"/>
          <w:szCs w:val="22"/>
        </w:rPr>
      </w:pPr>
      <w:r w:rsidRPr="009A597A">
        <w:rPr>
          <w:rFonts w:ascii="Calibri" w:hAnsi="Calibri" w:cs="Calibri"/>
          <w:sz w:val="22"/>
          <w:szCs w:val="22"/>
        </w:rPr>
        <w:lastRenderedPageBreak/>
        <w:t>F</w:t>
      </w:r>
      <w:r w:rsidRPr="009A597A" w:rsidR="009A3B1D">
        <w:rPr>
          <w:rFonts w:ascii="Calibri" w:hAnsi="Calibri" w:cs="Calibri"/>
          <w:sz w:val="22"/>
          <w:szCs w:val="22"/>
        </w:rPr>
        <w:t>iche</w:t>
      </w:r>
      <w:r w:rsidRPr="009A597A">
        <w:rPr>
          <w:rFonts w:ascii="Calibri" w:hAnsi="Calibri" w:cs="Calibri"/>
          <w:sz w:val="22"/>
          <w:szCs w:val="22"/>
        </w:rPr>
        <w:t xml:space="preserve">: </w:t>
      </w:r>
      <w:r w:rsidRPr="009A597A" w:rsidR="00496102">
        <w:rPr>
          <w:rFonts w:ascii="Calibri" w:hAnsi="Calibri" w:cs="Calibri"/>
          <w:sz w:val="22"/>
          <w:szCs w:val="22"/>
        </w:rPr>
        <w:t xml:space="preserve">[MFK] </w:t>
      </w:r>
      <w:r w:rsidRPr="009A597A" w:rsidR="00B36C88">
        <w:rPr>
          <w:rFonts w:ascii="Calibri" w:hAnsi="Calibri" w:cs="Calibri"/>
          <w:sz w:val="22"/>
          <w:szCs w:val="22"/>
        </w:rPr>
        <w:t xml:space="preserve">Verordening tot </w:t>
      </w:r>
      <w:r w:rsidRPr="009A597A" w:rsidR="00B41B53">
        <w:rPr>
          <w:rFonts w:ascii="Calibri" w:hAnsi="Calibri" w:cs="Calibri"/>
          <w:sz w:val="22"/>
          <w:szCs w:val="22"/>
        </w:rPr>
        <w:t>inrichting</w:t>
      </w:r>
      <w:r w:rsidRPr="009A597A" w:rsidR="00B36C88">
        <w:rPr>
          <w:rFonts w:ascii="Calibri" w:hAnsi="Calibri" w:cs="Calibri"/>
          <w:sz w:val="22"/>
          <w:szCs w:val="22"/>
        </w:rPr>
        <w:t xml:space="preserve"> </w:t>
      </w:r>
      <w:r w:rsidRPr="009A597A" w:rsidR="003373EB">
        <w:rPr>
          <w:rFonts w:ascii="Calibri" w:hAnsi="Calibri" w:cs="Calibri"/>
          <w:sz w:val="22"/>
          <w:szCs w:val="22"/>
        </w:rPr>
        <w:t>van het justitieprogramma</w:t>
      </w:r>
      <w:r w:rsidRPr="009A597A" w:rsidR="00B36C88">
        <w:rPr>
          <w:rFonts w:ascii="Calibri" w:hAnsi="Calibri" w:cs="Calibri"/>
          <w:sz w:val="22"/>
          <w:szCs w:val="22"/>
        </w:rPr>
        <w:t xml:space="preserve"> 2028-2034</w:t>
      </w:r>
      <w:r w:rsidRPr="009A597A" w:rsidR="00B41B53">
        <w:rPr>
          <w:rFonts w:ascii="Calibri" w:hAnsi="Calibri" w:cs="Calibri"/>
          <w:sz w:val="22"/>
          <w:szCs w:val="22"/>
        </w:rPr>
        <w:t xml:space="preserve"> en terugtrekken van verordening (EU) 2021/693</w:t>
      </w:r>
    </w:p>
    <w:p w:rsidRPr="009A597A" w:rsidR="009A3B1D" w:rsidP="009A597A" w:rsidRDefault="009A3B1D" w14:paraId="476D9579" w14:textId="77777777">
      <w:pPr>
        <w:spacing w:after="160" w:line="240" w:lineRule="auto"/>
        <w:rPr>
          <w:rFonts w:ascii="Calibri" w:hAnsi="Calibri" w:cs="Calibri"/>
          <w:szCs w:val="22"/>
        </w:rPr>
      </w:pPr>
    </w:p>
    <w:p w:rsidRPr="009A597A" w:rsidR="009A3B1D" w:rsidP="009A597A" w:rsidRDefault="009A3B1D" w14:paraId="520C1527" w14:textId="77777777">
      <w:pPr>
        <w:numPr>
          <w:ilvl w:val="0"/>
          <w:numId w:val="3"/>
        </w:numPr>
        <w:spacing w:after="160" w:line="240" w:lineRule="auto"/>
        <w:rPr>
          <w:rFonts w:ascii="Calibri" w:hAnsi="Calibri" w:cs="Calibri"/>
          <w:b/>
          <w:szCs w:val="22"/>
        </w:rPr>
      </w:pPr>
      <w:r w:rsidRPr="009A597A">
        <w:rPr>
          <w:rFonts w:ascii="Calibri" w:hAnsi="Calibri" w:cs="Calibri"/>
          <w:b/>
          <w:szCs w:val="22"/>
        </w:rPr>
        <w:t>Algemene gegevens</w:t>
      </w:r>
    </w:p>
    <w:p w:rsidRPr="009A597A" w:rsidR="00F74E07" w:rsidP="009A597A" w:rsidRDefault="00F74E07" w14:paraId="34945CF9" w14:textId="3DE2F4A5">
      <w:pPr>
        <w:numPr>
          <w:ilvl w:val="0"/>
          <w:numId w:val="4"/>
        </w:numPr>
        <w:spacing w:after="160" w:line="240" w:lineRule="auto"/>
        <w:rPr>
          <w:rFonts w:ascii="Calibri" w:hAnsi="Calibri" w:cs="Calibri"/>
          <w:i/>
          <w:szCs w:val="22"/>
        </w:rPr>
      </w:pPr>
      <w:r w:rsidRPr="009A597A">
        <w:rPr>
          <w:rFonts w:ascii="Calibri" w:hAnsi="Calibri" w:cs="Calibri"/>
          <w:i/>
          <w:iCs/>
          <w:szCs w:val="22"/>
        </w:rPr>
        <w:t>Titel voorstel</w:t>
      </w:r>
      <w:r w:rsidRPr="009A597A" w:rsidR="00496102">
        <w:rPr>
          <w:rFonts w:ascii="Calibri" w:hAnsi="Calibri" w:cs="Calibri"/>
          <w:i/>
          <w:iCs/>
          <w:szCs w:val="22"/>
        </w:rPr>
        <w:t>[</w:t>
      </w:r>
    </w:p>
    <w:p w:rsidRPr="009A597A" w:rsidR="00F74E07" w:rsidP="009A597A" w:rsidRDefault="003373EB" w14:paraId="3ABF9433" w14:textId="72D87D29">
      <w:pPr>
        <w:spacing w:after="160" w:line="240" w:lineRule="auto"/>
        <w:rPr>
          <w:rFonts w:ascii="Calibri" w:hAnsi="Calibri" w:cs="Calibri"/>
          <w:i/>
          <w:szCs w:val="22"/>
          <w:lang w:val="en-US"/>
        </w:rPr>
      </w:pPr>
      <w:r w:rsidRPr="009A597A">
        <w:rPr>
          <w:rFonts w:ascii="Calibri" w:hAnsi="Calibri" w:eastAsia="Verdana" w:cs="Calibri"/>
          <w:i/>
          <w:iCs/>
          <w:kern w:val="3"/>
          <w:szCs w:val="22"/>
          <w:lang w:val="en-US"/>
        </w:rPr>
        <w:t>Proposal for establishing the Justice programme for the period 2028-2034 and repealing Regulation</w:t>
      </w:r>
      <w:r w:rsidRPr="009A597A">
        <w:rPr>
          <w:rFonts w:ascii="Calibri" w:hAnsi="Calibri" w:eastAsia="Verdana" w:cs="Calibri"/>
          <w:kern w:val="3"/>
          <w:szCs w:val="22"/>
          <w:lang w:val="en-US"/>
        </w:rPr>
        <w:t xml:space="preserve"> (EU) 2021/693</w:t>
      </w:r>
      <w:r w:rsidRPr="009A597A" w:rsidR="77D1C784">
        <w:rPr>
          <w:rFonts w:ascii="Calibri" w:hAnsi="Calibri" w:eastAsia="Verdana" w:cs="Calibri"/>
          <w:kern w:val="3"/>
          <w:szCs w:val="22"/>
          <w:lang w:val="en-US"/>
        </w:rPr>
        <w:t xml:space="preserve"> </w:t>
      </w:r>
      <w:r w:rsidRPr="009A597A" w:rsidR="00666AD2">
        <w:rPr>
          <w:rFonts w:ascii="Calibri" w:hAnsi="Calibri" w:eastAsia="Verdana" w:cs="Calibri"/>
          <w:kern w:val="3"/>
          <w:szCs w:val="22"/>
          <w:lang w:val="en-US"/>
        </w:rPr>
        <w:br/>
      </w:r>
    </w:p>
    <w:p w:rsidRPr="009A597A" w:rsidR="00F74E07" w:rsidP="009A597A" w:rsidRDefault="00F74E07" w14:paraId="62A536E7" w14:textId="77777777">
      <w:pPr>
        <w:numPr>
          <w:ilvl w:val="0"/>
          <w:numId w:val="4"/>
        </w:numPr>
        <w:spacing w:after="160" w:line="240" w:lineRule="auto"/>
        <w:rPr>
          <w:rFonts w:ascii="Calibri" w:hAnsi="Calibri" w:cs="Calibri"/>
          <w:i/>
          <w:szCs w:val="22"/>
        </w:rPr>
      </w:pPr>
      <w:r w:rsidRPr="009A597A">
        <w:rPr>
          <w:rFonts w:ascii="Calibri" w:hAnsi="Calibri" w:cs="Calibri"/>
          <w:i/>
          <w:iCs/>
          <w:szCs w:val="22"/>
        </w:rPr>
        <w:t>Datum ontvangst Commissiedocument</w:t>
      </w:r>
    </w:p>
    <w:p w:rsidRPr="009A597A" w:rsidR="00E61FAE" w:rsidP="009A597A" w:rsidRDefault="3658664E" w14:paraId="7738159B" w14:textId="195332D7">
      <w:pPr>
        <w:spacing w:after="160" w:line="240" w:lineRule="auto"/>
        <w:ind w:left="360"/>
        <w:rPr>
          <w:rFonts w:ascii="Calibri" w:hAnsi="Calibri" w:cs="Calibri"/>
          <w:szCs w:val="22"/>
        </w:rPr>
      </w:pPr>
      <w:r w:rsidRPr="009A597A">
        <w:rPr>
          <w:rFonts w:ascii="Calibri" w:hAnsi="Calibri" w:cs="Calibri"/>
          <w:szCs w:val="22"/>
        </w:rPr>
        <w:t>3 september 2025</w:t>
      </w:r>
      <w:r w:rsidRPr="009A597A" w:rsidR="00666AD2">
        <w:rPr>
          <w:rFonts w:ascii="Calibri" w:hAnsi="Calibri" w:cs="Calibri"/>
          <w:szCs w:val="22"/>
        </w:rPr>
        <w:br/>
      </w:r>
    </w:p>
    <w:p w:rsidRPr="009A597A" w:rsidR="00082FDA" w:rsidP="009A597A" w:rsidRDefault="00F74E07" w14:paraId="3DA1C568" w14:textId="77777777">
      <w:pPr>
        <w:numPr>
          <w:ilvl w:val="0"/>
          <w:numId w:val="4"/>
        </w:numPr>
        <w:spacing w:after="160" w:line="240" w:lineRule="auto"/>
        <w:rPr>
          <w:rFonts w:ascii="Calibri" w:hAnsi="Calibri" w:cs="Calibri"/>
          <w:szCs w:val="22"/>
        </w:rPr>
      </w:pPr>
      <w:r w:rsidRPr="009A597A">
        <w:rPr>
          <w:rFonts w:ascii="Calibri" w:hAnsi="Calibri" w:cs="Calibri"/>
          <w:i/>
          <w:iCs/>
          <w:szCs w:val="22"/>
        </w:rPr>
        <w:t>Nr. Commissiedocument</w:t>
      </w:r>
    </w:p>
    <w:p w:rsidRPr="009A597A" w:rsidR="00082FDA" w:rsidP="009A597A" w:rsidRDefault="00082FDA" w14:paraId="021F086B" w14:textId="41BE2707">
      <w:pPr>
        <w:spacing w:after="160" w:line="240" w:lineRule="auto"/>
        <w:ind w:left="360"/>
        <w:rPr>
          <w:rFonts w:ascii="Calibri" w:hAnsi="Calibri" w:cs="Calibri"/>
          <w:i/>
          <w:szCs w:val="22"/>
        </w:rPr>
      </w:pPr>
      <w:r w:rsidRPr="009A597A">
        <w:rPr>
          <w:rFonts w:ascii="Calibri" w:hAnsi="Calibri" w:cs="Calibri"/>
          <w:szCs w:val="22"/>
        </w:rPr>
        <w:t xml:space="preserve">COM(2025) </w:t>
      </w:r>
      <w:r w:rsidRPr="009A597A" w:rsidR="00E61FAE">
        <w:rPr>
          <w:rFonts w:ascii="Calibri" w:hAnsi="Calibri" w:cs="Calibri"/>
          <w:szCs w:val="22"/>
        </w:rPr>
        <w:t>463</w:t>
      </w:r>
      <w:r w:rsidRPr="009A597A">
        <w:rPr>
          <w:rFonts w:ascii="Calibri" w:hAnsi="Calibri" w:cs="Calibri"/>
          <w:szCs w:val="22"/>
        </w:rPr>
        <w:t xml:space="preserve"> final</w:t>
      </w:r>
      <w:r w:rsidRPr="009A597A" w:rsidR="00666AD2">
        <w:rPr>
          <w:rFonts w:ascii="Calibri" w:hAnsi="Calibri" w:cs="Calibri"/>
          <w:szCs w:val="22"/>
        </w:rPr>
        <w:br/>
      </w:r>
    </w:p>
    <w:p w:rsidRPr="009A597A" w:rsidR="00F74E07" w:rsidP="009A597A" w:rsidRDefault="00C85F76" w14:paraId="7B9297FB" w14:textId="77777777">
      <w:pPr>
        <w:numPr>
          <w:ilvl w:val="0"/>
          <w:numId w:val="4"/>
        </w:numPr>
        <w:spacing w:after="160" w:line="240" w:lineRule="auto"/>
        <w:rPr>
          <w:rFonts w:ascii="Calibri" w:hAnsi="Calibri" w:cs="Calibri"/>
          <w:i/>
          <w:szCs w:val="22"/>
        </w:rPr>
      </w:pPr>
      <w:r w:rsidRPr="009A597A">
        <w:rPr>
          <w:rFonts w:ascii="Calibri" w:hAnsi="Calibri" w:cs="Calibri"/>
          <w:i/>
          <w:iCs/>
          <w:szCs w:val="22"/>
        </w:rPr>
        <w:t>EUR</w:t>
      </w:r>
      <w:r w:rsidRPr="009A597A" w:rsidR="00F74E07">
        <w:rPr>
          <w:rFonts w:ascii="Calibri" w:hAnsi="Calibri" w:cs="Calibri"/>
          <w:i/>
          <w:iCs/>
          <w:szCs w:val="22"/>
        </w:rPr>
        <w:t>-</w:t>
      </w:r>
      <w:r w:rsidRPr="009A597A">
        <w:rPr>
          <w:rFonts w:ascii="Calibri" w:hAnsi="Calibri" w:cs="Calibri"/>
          <w:i/>
          <w:iCs/>
          <w:szCs w:val="22"/>
        </w:rPr>
        <w:t>L</w:t>
      </w:r>
      <w:r w:rsidRPr="009A597A" w:rsidR="00F74E07">
        <w:rPr>
          <w:rFonts w:ascii="Calibri" w:hAnsi="Calibri" w:cs="Calibri"/>
          <w:i/>
          <w:iCs/>
          <w:szCs w:val="22"/>
        </w:rPr>
        <w:t>ex</w:t>
      </w:r>
    </w:p>
    <w:p w:rsidRPr="009A597A" w:rsidR="00306043" w:rsidP="009A597A" w:rsidRDefault="003373EB" w14:paraId="41DD7158" w14:textId="319ECCEA">
      <w:pPr>
        <w:spacing w:after="160" w:line="240" w:lineRule="auto"/>
        <w:ind w:left="360"/>
        <w:rPr>
          <w:rFonts w:ascii="Calibri" w:hAnsi="Calibri" w:cs="Calibri"/>
          <w:i/>
          <w:szCs w:val="22"/>
          <w:lang w:val="fr-FR"/>
        </w:rPr>
      </w:pPr>
      <w:hyperlink w:history="1" r:id="rId12">
        <w:r w:rsidRPr="009A597A">
          <w:rPr>
            <w:rStyle w:val="Hyperlink"/>
            <w:rFonts w:ascii="Calibri" w:hAnsi="Calibri" w:cs="Calibri"/>
            <w:i/>
            <w:iCs/>
            <w:szCs w:val="22"/>
            <w:lang w:val="fr-FR"/>
          </w:rPr>
          <w:t>EUR-Lex - 52025PC0463 - EN - EUR-Lex</w:t>
        </w:r>
      </w:hyperlink>
      <w:r w:rsidRPr="009A597A" w:rsidR="00666AD2">
        <w:rPr>
          <w:rFonts w:ascii="Calibri" w:hAnsi="Calibri" w:cs="Calibri"/>
          <w:szCs w:val="22"/>
          <w:lang w:val="fr-FR"/>
        </w:rPr>
        <w:br/>
      </w:r>
    </w:p>
    <w:p w:rsidRPr="009A597A" w:rsidR="00F74E07" w:rsidP="009A597A" w:rsidRDefault="00F74E07" w14:paraId="675222CB" w14:textId="77777777">
      <w:pPr>
        <w:numPr>
          <w:ilvl w:val="0"/>
          <w:numId w:val="4"/>
        </w:numPr>
        <w:spacing w:after="160" w:line="240" w:lineRule="auto"/>
        <w:rPr>
          <w:rFonts w:ascii="Calibri" w:hAnsi="Calibri" w:cs="Calibri"/>
          <w:i/>
          <w:szCs w:val="22"/>
        </w:rPr>
      </w:pPr>
      <w:r w:rsidRPr="009A597A">
        <w:rPr>
          <w:rFonts w:ascii="Calibri" w:hAnsi="Calibri" w:cs="Calibri"/>
          <w:i/>
          <w:iCs/>
          <w:szCs w:val="22"/>
        </w:rPr>
        <w:t xml:space="preserve">Nr. impact assessment Commissie en Opinie </w:t>
      </w:r>
      <w:r w:rsidRPr="009A597A" w:rsidR="00F30C33">
        <w:rPr>
          <w:rFonts w:ascii="Calibri" w:hAnsi="Calibri" w:cs="Calibri"/>
          <w:i/>
          <w:szCs w:val="22"/>
        </w:rPr>
        <w:t>Raad voor Regelgevingstoetsing</w:t>
      </w:r>
    </w:p>
    <w:p w:rsidRPr="009A597A" w:rsidR="00E61FAE" w:rsidP="009A597A" w:rsidRDefault="3658664E" w14:paraId="550DC02E" w14:textId="181650E1">
      <w:pPr>
        <w:spacing w:after="160" w:line="240" w:lineRule="auto"/>
        <w:ind w:left="360"/>
        <w:rPr>
          <w:rFonts w:ascii="Calibri" w:hAnsi="Calibri" w:cs="Calibri"/>
          <w:i/>
          <w:szCs w:val="22"/>
        </w:rPr>
      </w:pPr>
      <w:r w:rsidRPr="009A597A">
        <w:rPr>
          <w:rFonts w:ascii="Calibri" w:hAnsi="Calibri" w:cs="Calibri"/>
          <w:i/>
          <w:iCs/>
          <w:szCs w:val="22"/>
        </w:rPr>
        <w:t>n.v.t.</w:t>
      </w:r>
      <w:r w:rsidRPr="009A597A" w:rsidR="00666AD2">
        <w:rPr>
          <w:rFonts w:ascii="Calibri" w:hAnsi="Calibri" w:cs="Calibri"/>
          <w:i/>
          <w:iCs/>
          <w:szCs w:val="22"/>
        </w:rPr>
        <w:br/>
      </w:r>
    </w:p>
    <w:p w:rsidRPr="009A597A" w:rsidR="00F74E07" w:rsidP="009A597A" w:rsidRDefault="00F74E07" w14:paraId="0B9276E9" w14:textId="77777777">
      <w:pPr>
        <w:numPr>
          <w:ilvl w:val="0"/>
          <w:numId w:val="4"/>
        </w:numPr>
        <w:spacing w:after="160" w:line="240" w:lineRule="auto"/>
        <w:rPr>
          <w:rFonts w:ascii="Calibri" w:hAnsi="Calibri" w:cs="Calibri"/>
          <w:i/>
          <w:szCs w:val="22"/>
        </w:rPr>
      </w:pPr>
      <w:r w:rsidRPr="009A597A">
        <w:rPr>
          <w:rFonts w:ascii="Calibri" w:hAnsi="Calibri" w:cs="Calibri"/>
          <w:i/>
          <w:iCs/>
          <w:szCs w:val="22"/>
        </w:rPr>
        <w:t>Behandelingstraject Raad</w:t>
      </w:r>
    </w:p>
    <w:p w:rsidRPr="009A597A" w:rsidR="000B66F2" w:rsidP="009A597A" w:rsidRDefault="000B66F2" w14:paraId="0CE88617" w14:textId="22F10B43">
      <w:pPr>
        <w:pStyle w:val="Basis"/>
        <w:spacing w:after="160"/>
        <w:ind w:left="360"/>
        <w:rPr>
          <w:rFonts w:ascii="Calibri" w:hAnsi="Calibri" w:cs="Calibri"/>
          <w:i/>
          <w:sz w:val="22"/>
          <w:szCs w:val="22"/>
        </w:rPr>
      </w:pPr>
      <w:r w:rsidRPr="009A597A">
        <w:rPr>
          <w:rFonts w:ascii="Calibri" w:hAnsi="Calibri" w:cs="Calibri"/>
          <w:sz w:val="22"/>
          <w:szCs w:val="22"/>
        </w:rPr>
        <w:t>Raad Justitie en Binnenlandse Zaken</w:t>
      </w:r>
      <w:r w:rsidRPr="009A597A" w:rsidR="00666AD2">
        <w:rPr>
          <w:rFonts w:ascii="Calibri" w:hAnsi="Calibri" w:cs="Calibri"/>
          <w:sz w:val="22"/>
          <w:szCs w:val="22"/>
        </w:rPr>
        <w:br/>
      </w:r>
    </w:p>
    <w:p w:rsidRPr="009A597A" w:rsidR="00CC4C72" w:rsidP="009A597A" w:rsidRDefault="3658664E" w14:paraId="4F6CD1BC" w14:textId="567A3007">
      <w:pPr>
        <w:numPr>
          <w:ilvl w:val="0"/>
          <w:numId w:val="4"/>
        </w:numPr>
        <w:spacing w:after="160" w:line="240" w:lineRule="auto"/>
        <w:rPr>
          <w:rFonts w:ascii="Calibri" w:hAnsi="Calibri" w:cs="Calibri"/>
          <w:szCs w:val="22"/>
        </w:rPr>
      </w:pPr>
      <w:r w:rsidRPr="009A597A">
        <w:rPr>
          <w:rFonts w:ascii="Calibri" w:hAnsi="Calibri" w:cs="Calibri"/>
          <w:i/>
          <w:iCs/>
          <w:szCs w:val="22"/>
        </w:rPr>
        <w:t>Eerstverantwoordelijk ministerie</w:t>
      </w:r>
      <w:r w:rsidRPr="009A597A" w:rsidR="00330FE7">
        <w:rPr>
          <w:rFonts w:ascii="Calibri" w:hAnsi="Calibri" w:cs="Calibri"/>
          <w:szCs w:val="22"/>
        </w:rPr>
        <w:br/>
      </w:r>
      <w:r w:rsidRPr="009A597A">
        <w:rPr>
          <w:rFonts w:ascii="Calibri" w:hAnsi="Calibri" w:cs="Calibri"/>
          <w:szCs w:val="22"/>
        </w:rPr>
        <w:t>Ministerie van Justitie en Veiligheid</w:t>
      </w:r>
      <w:r w:rsidRPr="009A597A" w:rsidR="00666AD2">
        <w:rPr>
          <w:rFonts w:ascii="Calibri" w:hAnsi="Calibri" w:cs="Calibri"/>
          <w:szCs w:val="22"/>
        </w:rPr>
        <w:br/>
      </w:r>
    </w:p>
    <w:p w:rsidRPr="009A597A" w:rsidR="00330FE7" w:rsidP="009A597A" w:rsidRDefault="00330FE7" w14:paraId="1CB6E7AD" w14:textId="77777777">
      <w:pPr>
        <w:numPr>
          <w:ilvl w:val="0"/>
          <w:numId w:val="4"/>
        </w:numPr>
        <w:spacing w:after="160" w:line="240" w:lineRule="auto"/>
        <w:rPr>
          <w:rFonts w:ascii="Calibri" w:hAnsi="Calibri" w:cs="Calibri"/>
          <w:i/>
          <w:szCs w:val="22"/>
        </w:rPr>
      </w:pPr>
      <w:r w:rsidRPr="009A597A">
        <w:rPr>
          <w:rFonts w:ascii="Calibri" w:hAnsi="Calibri" w:cs="Calibri"/>
          <w:i/>
          <w:iCs/>
          <w:szCs w:val="22"/>
        </w:rPr>
        <w:t>Rechtsbasis</w:t>
      </w:r>
    </w:p>
    <w:p w:rsidRPr="009A597A" w:rsidR="00245697" w:rsidP="009A597A" w:rsidRDefault="00245697" w14:paraId="2FE28B2D" w14:textId="4D6498E8">
      <w:pPr>
        <w:spacing w:after="160" w:line="240" w:lineRule="auto"/>
        <w:ind w:firstLine="360"/>
        <w:rPr>
          <w:rFonts w:ascii="Calibri" w:hAnsi="Calibri" w:cs="Calibri"/>
          <w:i/>
          <w:szCs w:val="22"/>
        </w:rPr>
      </w:pPr>
      <w:r w:rsidRPr="009A597A">
        <w:rPr>
          <w:rFonts w:ascii="Calibri" w:hAnsi="Calibri" w:cs="Calibri"/>
          <w:szCs w:val="22"/>
        </w:rPr>
        <w:t>Artikel 8</w:t>
      </w:r>
      <w:r w:rsidRPr="009A597A" w:rsidR="00832EDC">
        <w:rPr>
          <w:rFonts w:ascii="Calibri" w:hAnsi="Calibri" w:cs="Calibri"/>
          <w:szCs w:val="22"/>
        </w:rPr>
        <w:t>1</w:t>
      </w:r>
      <w:r w:rsidRPr="009A597A" w:rsidR="003F1136">
        <w:rPr>
          <w:rFonts w:ascii="Calibri" w:hAnsi="Calibri" w:cs="Calibri"/>
          <w:szCs w:val="22"/>
        </w:rPr>
        <w:t xml:space="preserve">, </w:t>
      </w:r>
      <w:r w:rsidRPr="009A597A" w:rsidR="009B7A93">
        <w:rPr>
          <w:rFonts w:ascii="Calibri" w:hAnsi="Calibri" w:cs="Calibri"/>
          <w:szCs w:val="22"/>
        </w:rPr>
        <w:t>eerste en tweede lid</w:t>
      </w:r>
      <w:r w:rsidRPr="009A597A" w:rsidR="003F1136">
        <w:rPr>
          <w:rFonts w:ascii="Calibri" w:hAnsi="Calibri" w:cs="Calibri"/>
          <w:szCs w:val="22"/>
        </w:rPr>
        <w:t>,</w:t>
      </w:r>
      <w:r w:rsidRPr="009A597A" w:rsidR="00832EDC">
        <w:rPr>
          <w:rFonts w:ascii="Calibri" w:hAnsi="Calibri" w:cs="Calibri"/>
          <w:szCs w:val="22"/>
        </w:rPr>
        <w:t xml:space="preserve"> </w:t>
      </w:r>
      <w:r w:rsidRPr="009A597A" w:rsidR="00E61FAE">
        <w:rPr>
          <w:rFonts w:ascii="Calibri" w:hAnsi="Calibri" w:cs="Calibri"/>
          <w:szCs w:val="22"/>
        </w:rPr>
        <w:t xml:space="preserve">en </w:t>
      </w:r>
      <w:r w:rsidRPr="009A597A">
        <w:rPr>
          <w:rFonts w:ascii="Calibri" w:hAnsi="Calibri" w:cs="Calibri"/>
          <w:szCs w:val="22"/>
        </w:rPr>
        <w:t>8</w:t>
      </w:r>
      <w:r w:rsidRPr="009A597A" w:rsidR="00E61FAE">
        <w:rPr>
          <w:rFonts w:ascii="Calibri" w:hAnsi="Calibri" w:cs="Calibri"/>
          <w:szCs w:val="22"/>
        </w:rPr>
        <w:t>2</w:t>
      </w:r>
      <w:r w:rsidRPr="009A597A" w:rsidR="003F1136">
        <w:rPr>
          <w:rFonts w:ascii="Calibri" w:hAnsi="Calibri" w:cs="Calibri"/>
          <w:szCs w:val="22"/>
        </w:rPr>
        <w:t xml:space="preserve">, </w:t>
      </w:r>
      <w:r w:rsidRPr="009A597A" w:rsidR="009B7A93">
        <w:rPr>
          <w:rFonts w:ascii="Calibri" w:hAnsi="Calibri" w:cs="Calibri"/>
          <w:szCs w:val="22"/>
        </w:rPr>
        <w:t>eerste lid</w:t>
      </w:r>
      <w:r w:rsidRPr="009A597A" w:rsidR="003F1136">
        <w:rPr>
          <w:rFonts w:ascii="Calibri" w:hAnsi="Calibri" w:cs="Calibri"/>
          <w:szCs w:val="22"/>
        </w:rPr>
        <w:t>,</w:t>
      </w:r>
      <w:r w:rsidRPr="009A597A">
        <w:rPr>
          <w:rFonts w:ascii="Calibri" w:hAnsi="Calibri" w:cs="Calibri"/>
          <w:szCs w:val="22"/>
        </w:rPr>
        <w:t xml:space="preserve"> </w:t>
      </w:r>
      <w:r w:rsidRPr="009A597A" w:rsidR="000B66F2">
        <w:rPr>
          <w:rFonts w:ascii="Calibri" w:hAnsi="Calibri" w:cs="Calibri"/>
          <w:szCs w:val="22"/>
        </w:rPr>
        <w:t>VW</w:t>
      </w:r>
      <w:r w:rsidRPr="009A597A">
        <w:rPr>
          <w:rFonts w:ascii="Calibri" w:hAnsi="Calibri" w:cs="Calibri"/>
          <w:szCs w:val="22"/>
        </w:rPr>
        <w:t>EU</w:t>
      </w:r>
      <w:r w:rsidRPr="009A597A">
        <w:rPr>
          <w:rFonts w:ascii="Calibri" w:hAnsi="Calibri" w:cs="Calibri"/>
          <w:i/>
          <w:iCs/>
          <w:szCs w:val="22"/>
        </w:rPr>
        <w:t xml:space="preserve"> </w:t>
      </w:r>
      <w:r w:rsidRPr="009A597A" w:rsidR="00666AD2">
        <w:rPr>
          <w:rFonts w:ascii="Calibri" w:hAnsi="Calibri" w:cs="Calibri"/>
          <w:i/>
          <w:iCs/>
          <w:szCs w:val="22"/>
        </w:rPr>
        <w:br/>
      </w:r>
    </w:p>
    <w:p w:rsidRPr="009A597A" w:rsidR="00330FE7" w:rsidP="009A597A" w:rsidRDefault="00330FE7" w14:paraId="21020116" w14:textId="77777777">
      <w:pPr>
        <w:numPr>
          <w:ilvl w:val="0"/>
          <w:numId w:val="4"/>
        </w:numPr>
        <w:spacing w:after="160" w:line="240" w:lineRule="auto"/>
        <w:rPr>
          <w:rFonts w:ascii="Calibri" w:hAnsi="Calibri" w:cs="Calibri"/>
          <w:i/>
          <w:szCs w:val="22"/>
        </w:rPr>
      </w:pPr>
      <w:r w:rsidRPr="009A597A">
        <w:rPr>
          <w:rFonts w:ascii="Calibri" w:hAnsi="Calibri" w:cs="Calibri"/>
          <w:i/>
          <w:iCs/>
          <w:szCs w:val="22"/>
        </w:rPr>
        <w:t>Besluitvormingsprocedure Raad</w:t>
      </w:r>
    </w:p>
    <w:p w:rsidRPr="009A597A" w:rsidR="000B66F2" w:rsidP="009A597A" w:rsidRDefault="000B66F2" w14:paraId="64F06442" w14:textId="2A2E3815">
      <w:pPr>
        <w:pStyle w:val="Basis"/>
        <w:spacing w:after="160"/>
        <w:ind w:left="360"/>
        <w:rPr>
          <w:rFonts w:ascii="Calibri" w:hAnsi="Calibri" w:cs="Calibri"/>
          <w:i/>
          <w:sz w:val="22"/>
          <w:szCs w:val="22"/>
        </w:rPr>
      </w:pPr>
      <w:r w:rsidRPr="009A597A">
        <w:rPr>
          <w:rFonts w:ascii="Calibri" w:hAnsi="Calibri" w:cs="Calibri"/>
          <w:sz w:val="22"/>
          <w:szCs w:val="22"/>
        </w:rPr>
        <w:t>Gekwalificeerde meerderheid</w:t>
      </w:r>
      <w:r w:rsidRPr="009A597A" w:rsidR="00666AD2">
        <w:rPr>
          <w:rFonts w:ascii="Calibri" w:hAnsi="Calibri" w:cs="Calibri"/>
          <w:sz w:val="22"/>
          <w:szCs w:val="22"/>
        </w:rPr>
        <w:br/>
      </w:r>
    </w:p>
    <w:p w:rsidRPr="009A597A" w:rsidR="00330FE7" w:rsidP="009A597A" w:rsidRDefault="00330FE7" w14:paraId="75432BD0" w14:textId="77777777">
      <w:pPr>
        <w:numPr>
          <w:ilvl w:val="0"/>
          <w:numId w:val="4"/>
        </w:numPr>
        <w:spacing w:after="160" w:line="240" w:lineRule="auto"/>
        <w:rPr>
          <w:rFonts w:ascii="Calibri" w:hAnsi="Calibri" w:cs="Calibri"/>
          <w:i/>
          <w:szCs w:val="22"/>
        </w:rPr>
      </w:pPr>
      <w:r w:rsidRPr="009A597A">
        <w:rPr>
          <w:rFonts w:ascii="Calibri" w:hAnsi="Calibri" w:cs="Calibri"/>
          <w:i/>
          <w:iCs/>
          <w:szCs w:val="22"/>
        </w:rPr>
        <w:t>Rol Europees Parlement</w:t>
      </w:r>
    </w:p>
    <w:p w:rsidRPr="009A597A" w:rsidR="000B66F2" w:rsidP="009A597A" w:rsidRDefault="000B66F2" w14:paraId="2CF4C3B9" w14:textId="77777777">
      <w:pPr>
        <w:spacing w:after="160" w:line="240" w:lineRule="auto"/>
        <w:ind w:left="360"/>
        <w:rPr>
          <w:rFonts w:ascii="Calibri" w:hAnsi="Calibri" w:cs="Calibri"/>
          <w:szCs w:val="22"/>
        </w:rPr>
      </w:pPr>
      <w:r w:rsidRPr="009A597A">
        <w:rPr>
          <w:rFonts w:ascii="Calibri" w:hAnsi="Calibri" w:cs="Calibri"/>
          <w:szCs w:val="22"/>
        </w:rPr>
        <w:t>Medebeslissingsprocedure</w:t>
      </w:r>
    </w:p>
    <w:p w:rsidRPr="009A597A" w:rsidR="009A3B1D" w:rsidP="009A597A" w:rsidRDefault="009A3B1D" w14:paraId="45055F1B" w14:textId="77777777">
      <w:pPr>
        <w:spacing w:after="160" w:line="240" w:lineRule="auto"/>
        <w:rPr>
          <w:rFonts w:ascii="Calibri" w:hAnsi="Calibri" w:cs="Calibri"/>
          <w:b/>
          <w:szCs w:val="22"/>
        </w:rPr>
      </w:pPr>
    </w:p>
    <w:p w:rsidRPr="009A597A" w:rsidR="00CB7FF8" w:rsidP="009A597A" w:rsidRDefault="00E539A8" w14:paraId="7A1E72E9" w14:textId="77777777">
      <w:pPr>
        <w:numPr>
          <w:ilvl w:val="0"/>
          <w:numId w:val="3"/>
        </w:numPr>
        <w:spacing w:after="160" w:line="240" w:lineRule="auto"/>
        <w:rPr>
          <w:rFonts w:ascii="Calibri" w:hAnsi="Calibri" w:cs="Calibri"/>
          <w:b/>
          <w:szCs w:val="22"/>
        </w:rPr>
      </w:pPr>
      <w:r w:rsidRPr="009A597A">
        <w:rPr>
          <w:rFonts w:ascii="Calibri" w:hAnsi="Calibri" w:cs="Calibri"/>
          <w:b/>
          <w:szCs w:val="22"/>
        </w:rPr>
        <w:t>Essentie</w:t>
      </w:r>
      <w:r w:rsidRPr="009A597A" w:rsidR="00CB7FF8">
        <w:rPr>
          <w:rFonts w:ascii="Calibri" w:hAnsi="Calibri" w:cs="Calibri"/>
          <w:b/>
          <w:szCs w:val="22"/>
        </w:rPr>
        <w:t xml:space="preserve"> voorstel </w:t>
      </w:r>
    </w:p>
    <w:p w:rsidRPr="009A597A" w:rsidR="00CC4C72" w:rsidP="009A597A" w:rsidRDefault="00CB7FF8" w14:paraId="7D2B4841" w14:textId="77777777">
      <w:pPr>
        <w:pStyle w:val="Spreekpunten"/>
        <w:numPr>
          <w:ilvl w:val="0"/>
          <w:numId w:val="5"/>
        </w:numPr>
        <w:spacing w:after="160" w:line="240" w:lineRule="auto"/>
        <w:rPr>
          <w:rFonts w:ascii="Calibri" w:hAnsi="Calibri" w:cs="Calibri"/>
          <w:sz w:val="22"/>
          <w:szCs w:val="22"/>
          <w:lang w:val="nl-NL" w:eastAsia="zh-CN"/>
        </w:rPr>
      </w:pPr>
      <w:r w:rsidRPr="009A597A">
        <w:rPr>
          <w:rFonts w:ascii="Calibri" w:hAnsi="Calibri" w:cs="Calibri"/>
          <w:i/>
          <w:iCs/>
          <w:sz w:val="22"/>
          <w:szCs w:val="22"/>
          <w:lang w:val="nl-NL" w:eastAsia="zh-CN"/>
        </w:rPr>
        <w:t>Inhoud voorstel</w:t>
      </w:r>
    </w:p>
    <w:p w:rsidRPr="009A597A" w:rsidR="00C76689" w:rsidP="009A597A" w:rsidRDefault="00C76689" w14:paraId="007FF04F" w14:textId="77777777">
      <w:pPr>
        <w:spacing w:after="160" w:line="240" w:lineRule="auto"/>
        <w:rPr>
          <w:rFonts w:ascii="Calibri" w:hAnsi="Calibri" w:cs="Calibri"/>
          <w:szCs w:val="22"/>
        </w:rPr>
      </w:pPr>
      <w:r w:rsidRPr="009A597A">
        <w:rPr>
          <w:rFonts w:ascii="Calibri" w:hAnsi="Calibri" w:cs="Calibri"/>
          <w:szCs w:val="22"/>
        </w:rPr>
        <w:t>Dit voorstel is onderdeel van het pakket aan voorstellen dat de Europese Commissie (hierna: Commissie) heeft uitgebracht in het kader van het Meerjarig Financieel Kader (</w:t>
      </w:r>
      <w:r w:rsidRPr="009A597A" w:rsidR="77D1C784">
        <w:rPr>
          <w:rFonts w:ascii="Calibri" w:hAnsi="Calibri" w:cs="Calibri"/>
          <w:szCs w:val="22"/>
        </w:rPr>
        <w:t>hi</w:t>
      </w:r>
      <w:r w:rsidRPr="009A597A" w:rsidR="5019A23F">
        <w:rPr>
          <w:rFonts w:ascii="Calibri" w:hAnsi="Calibri" w:cs="Calibri"/>
          <w:szCs w:val="22"/>
        </w:rPr>
        <w:t xml:space="preserve">erna: </w:t>
      </w:r>
      <w:r w:rsidRPr="009A597A">
        <w:rPr>
          <w:rFonts w:ascii="Calibri" w:hAnsi="Calibri" w:cs="Calibri"/>
          <w:szCs w:val="22"/>
        </w:rPr>
        <w:t>MFK) voor 2028–2034. De Commissie stelt met dit voorstel voor om het Justitieprogramma voort te zetten voor de periode 2028–2034.</w:t>
      </w:r>
    </w:p>
    <w:p w:rsidRPr="009A597A" w:rsidR="00C76689" w:rsidP="009A597A" w:rsidRDefault="00C76689" w14:paraId="4732C291" w14:textId="77777777">
      <w:pPr>
        <w:spacing w:after="160" w:line="240" w:lineRule="auto"/>
        <w:rPr>
          <w:rFonts w:ascii="Calibri" w:hAnsi="Calibri" w:cs="Calibri"/>
          <w:szCs w:val="22"/>
        </w:rPr>
      </w:pPr>
      <w:r w:rsidRPr="009A597A">
        <w:rPr>
          <w:rFonts w:ascii="Calibri" w:hAnsi="Calibri" w:cs="Calibri"/>
          <w:szCs w:val="22"/>
        </w:rPr>
        <w:lastRenderedPageBreak/>
        <w:t>Dit programma ondersteunt de ontwikkeling van een efficiënt, inclusief, veerkrachtig en gedigitaliseerd Europees rechtsgebied, gebaseerd op de rechtsstaat, wederzijds vertrouwen en wederzijdse erkenning. Aanleiding voor het voorstel zijn de aanhoudende uitdagingen binnen de E</w:t>
      </w:r>
      <w:r w:rsidRPr="009A597A" w:rsidR="5019A23F">
        <w:rPr>
          <w:rFonts w:ascii="Calibri" w:hAnsi="Calibri" w:cs="Calibri"/>
          <w:szCs w:val="22"/>
        </w:rPr>
        <w:t xml:space="preserve">uropese Unie (hierna: EU) </w:t>
      </w:r>
      <w:r w:rsidRPr="009A597A">
        <w:rPr>
          <w:rFonts w:ascii="Calibri" w:hAnsi="Calibri" w:cs="Calibri"/>
          <w:szCs w:val="22"/>
        </w:rPr>
        <w:t>op het gebied van toegang tot het recht, digitalisering, grensoverschrijdende criminaliteit en de noodzaak om de onafhankelijkheid van de rechterlijke macht en de bescherming van grondrechten verder te waarborgen.</w:t>
      </w:r>
    </w:p>
    <w:p w:rsidRPr="009A597A" w:rsidR="00C76689" w:rsidP="009A597A" w:rsidRDefault="00C76689" w14:paraId="015F138A" w14:textId="77777777">
      <w:pPr>
        <w:spacing w:after="160" w:line="240" w:lineRule="auto"/>
        <w:rPr>
          <w:rFonts w:ascii="Calibri" w:hAnsi="Calibri" w:cs="Calibri"/>
          <w:szCs w:val="22"/>
        </w:rPr>
      </w:pPr>
      <w:r w:rsidRPr="009A597A">
        <w:rPr>
          <w:rFonts w:ascii="Calibri" w:hAnsi="Calibri" w:cs="Calibri"/>
          <w:szCs w:val="22"/>
        </w:rPr>
        <w:t>De Commissie erkent dat ondanks geboekte vooruitgang nog steeds uitdagingen bestaan, zoals ongelijkheden in toegang tot rechtsbijstand, verschillen in tempo van digitalisering tussen lidstaten en fragmentatie in toepassing van EU-recht. Het voorstel beoogt deze knelpunten gezamenlijk en op Europees niveau aan te pakken.</w:t>
      </w:r>
    </w:p>
    <w:p w:rsidRPr="009A597A" w:rsidR="00C76689" w:rsidP="009A597A" w:rsidRDefault="00C76689" w14:paraId="377D526D" w14:textId="77777777">
      <w:pPr>
        <w:spacing w:after="160" w:line="240" w:lineRule="auto"/>
        <w:rPr>
          <w:rFonts w:ascii="Calibri" w:hAnsi="Calibri" w:cs="Calibri"/>
          <w:szCs w:val="22"/>
        </w:rPr>
      </w:pPr>
      <w:r w:rsidRPr="009A597A">
        <w:rPr>
          <w:rFonts w:ascii="Calibri" w:hAnsi="Calibri" w:cs="Calibri"/>
          <w:szCs w:val="22"/>
        </w:rPr>
        <w:t>Het voorstel bevat drie specifieke doelstellingen. Ten eerste, het faciliteren en ondersteunen van justitiële samenwerking in civiele en strafzaken om de rechtsstaat te bevorderen, in het bijzonder de onafhankelijkheid, kwaliteit, en efficiëntie van</w:t>
      </w:r>
      <w:r w:rsidRPr="009A597A" w:rsidR="00023028">
        <w:rPr>
          <w:rFonts w:ascii="Calibri" w:hAnsi="Calibri" w:cs="Calibri"/>
          <w:szCs w:val="22"/>
        </w:rPr>
        <w:t xml:space="preserve"> rechtssystemen</w:t>
      </w:r>
      <w:r w:rsidRPr="009A597A">
        <w:rPr>
          <w:rFonts w:ascii="Calibri" w:hAnsi="Calibri" w:cs="Calibri"/>
          <w:szCs w:val="22"/>
        </w:rPr>
        <w:t xml:space="preserve">, </w:t>
      </w:r>
      <w:r w:rsidRPr="009A597A" w:rsidR="00495752">
        <w:rPr>
          <w:rFonts w:ascii="Calibri" w:hAnsi="Calibri" w:cs="Calibri"/>
          <w:szCs w:val="22"/>
        </w:rPr>
        <w:t xml:space="preserve">inclusief door de grensoverschrijdende erkenning </w:t>
      </w:r>
      <w:r w:rsidRPr="009A597A" w:rsidR="00284FE2">
        <w:rPr>
          <w:rFonts w:ascii="Calibri" w:hAnsi="Calibri" w:cs="Calibri"/>
          <w:szCs w:val="22"/>
        </w:rPr>
        <w:t xml:space="preserve">en handhaving van gerechtelijke beslissingen en </w:t>
      </w:r>
      <w:r w:rsidRPr="009A597A">
        <w:rPr>
          <w:rFonts w:ascii="Calibri" w:hAnsi="Calibri" w:cs="Calibri"/>
          <w:szCs w:val="22"/>
        </w:rPr>
        <w:t>met bijzondere aandacht voor bestrijding van corruptie, terrorisme en milieucriminaliteit.</w:t>
      </w:r>
      <w:r w:rsidRPr="009A597A" w:rsidR="0081694C">
        <w:rPr>
          <w:rFonts w:ascii="Calibri" w:hAnsi="Calibri" w:cs="Calibri"/>
          <w:szCs w:val="22"/>
        </w:rPr>
        <w:t xml:space="preserve"> </w:t>
      </w:r>
      <w:r w:rsidRPr="009A597A">
        <w:rPr>
          <w:rFonts w:ascii="Calibri" w:hAnsi="Calibri" w:cs="Calibri"/>
          <w:szCs w:val="22"/>
        </w:rPr>
        <w:t>Ten tweede, het bevorderen van</w:t>
      </w:r>
      <w:r w:rsidRPr="009A597A" w:rsidR="003115CC">
        <w:rPr>
          <w:rFonts w:ascii="Calibri" w:hAnsi="Calibri" w:cs="Calibri"/>
          <w:szCs w:val="22"/>
        </w:rPr>
        <w:t xml:space="preserve"> opleidingen in de rechtelijke macht</w:t>
      </w:r>
      <w:r w:rsidRPr="009A597A">
        <w:rPr>
          <w:rFonts w:ascii="Calibri" w:hAnsi="Calibri" w:cs="Calibri"/>
          <w:szCs w:val="22"/>
        </w:rPr>
        <w:t xml:space="preserve"> en versterking van een Europese rechtscultuur, </w:t>
      </w:r>
      <w:r w:rsidRPr="009A597A" w:rsidR="007C07E4">
        <w:rPr>
          <w:rFonts w:ascii="Calibri" w:hAnsi="Calibri" w:cs="Calibri"/>
          <w:szCs w:val="22"/>
        </w:rPr>
        <w:t xml:space="preserve">met als doel de rechtsstaat, grondrechten en democratie te bevorderen, </w:t>
      </w:r>
      <w:r w:rsidRPr="009A597A">
        <w:rPr>
          <w:rFonts w:ascii="Calibri" w:hAnsi="Calibri" w:cs="Calibri"/>
          <w:szCs w:val="22"/>
        </w:rPr>
        <w:t xml:space="preserve">onder meer via het </w:t>
      </w:r>
      <w:r w:rsidRPr="009A597A">
        <w:rPr>
          <w:rFonts w:ascii="Calibri" w:hAnsi="Calibri" w:cs="Calibri"/>
          <w:i/>
          <w:iCs/>
          <w:szCs w:val="22"/>
        </w:rPr>
        <w:t>European Judicial Training Network</w:t>
      </w:r>
      <w:r w:rsidRPr="009A597A">
        <w:rPr>
          <w:rFonts w:ascii="Calibri" w:hAnsi="Calibri" w:cs="Calibri"/>
          <w:szCs w:val="22"/>
        </w:rPr>
        <w:t xml:space="preserve"> (</w:t>
      </w:r>
      <w:r w:rsidRPr="009A597A" w:rsidR="5019A23F">
        <w:rPr>
          <w:rFonts w:ascii="Calibri" w:hAnsi="Calibri" w:cs="Calibri"/>
          <w:szCs w:val="22"/>
        </w:rPr>
        <w:t xml:space="preserve">hierna: </w:t>
      </w:r>
      <w:r w:rsidRPr="009A597A">
        <w:rPr>
          <w:rFonts w:ascii="Calibri" w:hAnsi="Calibri" w:cs="Calibri"/>
          <w:szCs w:val="22"/>
        </w:rPr>
        <w:t>EJTN).</w:t>
      </w:r>
      <w:r w:rsidRPr="009A597A" w:rsidR="0081694C">
        <w:rPr>
          <w:rFonts w:ascii="Calibri" w:hAnsi="Calibri" w:cs="Calibri"/>
          <w:szCs w:val="22"/>
        </w:rPr>
        <w:t xml:space="preserve"> </w:t>
      </w:r>
      <w:r w:rsidRPr="009A597A">
        <w:rPr>
          <w:rFonts w:ascii="Calibri" w:hAnsi="Calibri" w:cs="Calibri"/>
          <w:szCs w:val="22"/>
        </w:rPr>
        <w:t>Ten derde, het verbeteren van effectieve en non-discriminatoire toegang tot het recht, ook via digitale middelen</w:t>
      </w:r>
      <w:r w:rsidRPr="009A597A" w:rsidR="0081694C">
        <w:rPr>
          <w:rFonts w:ascii="Calibri" w:hAnsi="Calibri" w:cs="Calibri"/>
          <w:szCs w:val="22"/>
        </w:rPr>
        <w:t>.</w:t>
      </w:r>
    </w:p>
    <w:p w:rsidRPr="009A597A" w:rsidR="00971457" w:rsidP="009A597A" w:rsidRDefault="00971457" w14:paraId="5DCFE967" w14:textId="77777777">
      <w:pPr>
        <w:spacing w:after="160" w:line="240" w:lineRule="auto"/>
        <w:rPr>
          <w:rFonts w:ascii="Calibri" w:hAnsi="Calibri" w:cs="Calibri"/>
          <w:szCs w:val="22"/>
        </w:rPr>
      </w:pPr>
      <w:r w:rsidRPr="009A597A">
        <w:rPr>
          <w:rFonts w:ascii="Calibri" w:hAnsi="Calibri" w:cs="Calibri"/>
          <w:szCs w:val="22"/>
        </w:rPr>
        <w:t xml:space="preserve">Digitalisering vormt een dwarsdoorsnijdend thema binnen het voorstel. Centraal staan investeringen in de interoperabiliteit van digitale systemen, de toepassing van artificiële intelligentie (AI) en de verdere uitbouw van de </w:t>
      </w:r>
      <w:r w:rsidRPr="009A597A">
        <w:rPr>
          <w:rFonts w:ascii="Calibri" w:hAnsi="Calibri" w:cs="Calibri"/>
          <w:i/>
          <w:iCs/>
          <w:szCs w:val="22"/>
        </w:rPr>
        <w:t>e-Justice</w:t>
      </w:r>
      <w:r w:rsidRPr="009A597A">
        <w:rPr>
          <w:rFonts w:ascii="Calibri" w:hAnsi="Calibri" w:cs="Calibri"/>
          <w:szCs w:val="22"/>
        </w:rPr>
        <w:t>-infrastructuur. Deze maatregelen beogen procedures te versnellen, de toegang tot rechtsmiddelen te verbeteren en de transparantie en efficiëntie van de rechtspraak te vergroten. Daarmee wordt niet alleen de rechtspraktijk gemoderniseerd, maar ook het vertrouwen van burgers en bedrijven in de rechtsstaat versterkt.</w:t>
      </w:r>
    </w:p>
    <w:p w:rsidRPr="009A597A" w:rsidR="00C76689" w:rsidP="009A597A" w:rsidRDefault="00C76689" w14:paraId="0C39F681" w14:textId="77777777">
      <w:pPr>
        <w:spacing w:after="160" w:line="240" w:lineRule="auto"/>
        <w:rPr>
          <w:rFonts w:ascii="Calibri" w:hAnsi="Calibri" w:cs="Calibri"/>
          <w:szCs w:val="22"/>
        </w:rPr>
      </w:pPr>
      <w:r w:rsidRPr="009A597A">
        <w:rPr>
          <w:rFonts w:ascii="Calibri" w:hAnsi="Calibri" w:cs="Calibri"/>
          <w:szCs w:val="22"/>
        </w:rPr>
        <w:t>Het programma sluit aan bij bredere EU-prioriteiten, zoals de bescherming van democratie en fundamentele rechten, het versterken van de interne markt en concurrentiekracht door voorspelbare rechtsstelsels, en het vergroten van de veiligheid in Europa door versterkte justitiële samenwerking. Daarnaast ondersteunt het programma de rechtsstaathervormingen in kandidaat-lidstaten in het kader van uitbreiding, en draagt het bij aan internationale doelstellingen waaronder de VN-</w:t>
      </w:r>
      <w:r w:rsidRPr="009A597A">
        <w:rPr>
          <w:rFonts w:ascii="Calibri" w:hAnsi="Calibri" w:cs="Calibri"/>
          <w:i/>
          <w:iCs/>
          <w:szCs w:val="22"/>
        </w:rPr>
        <w:t>Sustainable Development Goals</w:t>
      </w:r>
      <w:r w:rsidRPr="009A597A">
        <w:rPr>
          <w:rFonts w:ascii="Calibri" w:hAnsi="Calibri" w:cs="Calibri"/>
          <w:szCs w:val="22"/>
        </w:rPr>
        <w:t>.</w:t>
      </w:r>
    </w:p>
    <w:p w:rsidRPr="009A597A" w:rsidR="00C76689" w:rsidP="009A597A" w:rsidRDefault="00C76689" w14:paraId="26B25D6D" w14:textId="77777777">
      <w:pPr>
        <w:spacing w:after="160" w:line="240" w:lineRule="auto"/>
        <w:rPr>
          <w:rFonts w:ascii="Calibri" w:hAnsi="Calibri" w:cs="Calibri"/>
          <w:szCs w:val="22"/>
        </w:rPr>
      </w:pPr>
      <w:r w:rsidRPr="009A597A">
        <w:rPr>
          <w:rFonts w:ascii="Calibri" w:hAnsi="Calibri" w:cs="Calibri"/>
          <w:szCs w:val="22"/>
        </w:rPr>
        <w:t xml:space="preserve">Het programma behoudt en versterkt de samenhang tussen EU-instrumenten en -instanties gericht op het versterken van de interne markt en het waarborgen van rechtszekerheid, waaronder de </w:t>
      </w:r>
      <w:r w:rsidRPr="009A597A">
        <w:rPr>
          <w:rFonts w:ascii="Calibri" w:hAnsi="Calibri" w:cs="Calibri"/>
          <w:i/>
          <w:iCs/>
          <w:szCs w:val="22"/>
        </w:rPr>
        <w:t>Digital Services Act</w:t>
      </w:r>
      <w:r w:rsidRPr="009A597A">
        <w:rPr>
          <w:rFonts w:ascii="Calibri" w:hAnsi="Calibri" w:cs="Calibri"/>
          <w:szCs w:val="22"/>
        </w:rPr>
        <w:t xml:space="preserve"> (DSA), de </w:t>
      </w:r>
      <w:r w:rsidRPr="009A597A">
        <w:rPr>
          <w:rFonts w:ascii="Calibri" w:hAnsi="Calibri" w:cs="Calibri"/>
          <w:i/>
          <w:iCs/>
          <w:szCs w:val="22"/>
        </w:rPr>
        <w:t>AI Act</w:t>
      </w:r>
      <w:r w:rsidRPr="009A597A">
        <w:rPr>
          <w:rFonts w:ascii="Calibri" w:hAnsi="Calibri" w:cs="Calibri"/>
          <w:szCs w:val="22"/>
        </w:rPr>
        <w:t xml:space="preserve">, de </w:t>
      </w:r>
      <w:r w:rsidRPr="009A597A">
        <w:rPr>
          <w:rFonts w:ascii="Calibri" w:hAnsi="Calibri" w:cs="Calibri"/>
          <w:i/>
          <w:iCs/>
          <w:szCs w:val="22"/>
        </w:rPr>
        <w:t>Anti-Money Laundering Authority</w:t>
      </w:r>
      <w:r w:rsidRPr="009A597A">
        <w:rPr>
          <w:rFonts w:ascii="Calibri" w:hAnsi="Calibri" w:cs="Calibri"/>
          <w:szCs w:val="22"/>
        </w:rPr>
        <w:t xml:space="preserve"> (AMLA), de Europese Justitiële Samenwerking (</w:t>
      </w:r>
      <w:r w:rsidRPr="009A597A">
        <w:rPr>
          <w:rFonts w:ascii="Calibri" w:hAnsi="Calibri" w:cs="Calibri"/>
          <w:i/>
          <w:iCs/>
          <w:szCs w:val="22"/>
        </w:rPr>
        <w:t>Eurojust</w:t>
      </w:r>
      <w:r w:rsidRPr="009A597A">
        <w:rPr>
          <w:rFonts w:ascii="Calibri" w:hAnsi="Calibri" w:cs="Calibri"/>
          <w:szCs w:val="22"/>
        </w:rPr>
        <w:t xml:space="preserve">) en </w:t>
      </w:r>
      <w:r w:rsidRPr="009A597A" w:rsidR="41D4D05B">
        <w:rPr>
          <w:rFonts w:ascii="Calibri" w:hAnsi="Calibri" w:cs="Calibri"/>
          <w:szCs w:val="22"/>
        </w:rPr>
        <w:t xml:space="preserve">het </w:t>
      </w:r>
      <w:r w:rsidRPr="009A597A">
        <w:rPr>
          <w:rFonts w:ascii="Calibri" w:hAnsi="Calibri" w:cs="Calibri"/>
          <w:szCs w:val="22"/>
        </w:rPr>
        <w:t>Europees Openbaar Ministerie (EOM). Deze initiatieven hebben allemaal als doel de veiligheid en stabiliteit van de interne markt te waarborgen, misdaad te bestrijden en de digitale infrastructuren van de EU te versterken.</w:t>
      </w:r>
    </w:p>
    <w:p w:rsidRPr="009A597A" w:rsidR="00C76689" w:rsidP="009A597A" w:rsidRDefault="00C76689" w14:paraId="23B6D8AB" w14:textId="77777777">
      <w:pPr>
        <w:spacing w:after="160" w:line="240" w:lineRule="auto"/>
        <w:rPr>
          <w:rFonts w:ascii="Calibri" w:hAnsi="Calibri" w:cs="Calibri"/>
          <w:szCs w:val="22"/>
        </w:rPr>
      </w:pPr>
      <w:r w:rsidRPr="009A597A">
        <w:rPr>
          <w:rFonts w:ascii="Calibri" w:hAnsi="Calibri" w:cs="Calibri"/>
          <w:szCs w:val="22"/>
        </w:rPr>
        <w:t xml:space="preserve">Daarnaast verbindt het Justitieprogramma de justitiële samenwerking met bredere economische en veiligheidsagenda’s. De versterking van de rechtsstaat en justitiële samenwerking speelt een </w:t>
      </w:r>
      <w:r w:rsidRPr="009A597A">
        <w:rPr>
          <w:rFonts w:ascii="Calibri" w:hAnsi="Calibri" w:cs="Calibri"/>
          <w:szCs w:val="22"/>
        </w:rPr>
        <w:lastRenderedPageBreak/>
        <w:t>sleutelrol in het creëren van een aantrekkelijk investeringsklimaat binnen de EU, doordat rechtszekerheid en voorspelbaarheid essentieel zijn voor bedrijven om in de regio te investeren. Bovendien draagt het programma bij aan de bestrijding van grensoverschrijdende criminaliteit, zoals corruptie, terrorisme en cybercriminaliteit. Deze zaken hebben niet alleen impact op de interne veiligheid van de EU, maar ook op de economie en het vertrouwen van burgers in de overheid. Het Justitieprogramma biedt daardoor de noodzakelijke instrumenten om deze dreigingen gezamenlijk aan te pakken en zo de veiligheid en welvaart van de EU-burgers te versterken.</w:t>
      </w:r>
    </w:p>
    <w:p w:rsidRPr="009A597A" w:rsidR="00C76689" w:rsidP="009A597A" w:rsidRDefault="00C76689" w14:paraId="38A2E932" w14:textId="77777777">
      <w:pPr>
        <w:spacing w:after="160" w:line="240" w:lineRule="auto"/>
        <w:rPr>
          <w:rFonts w:ascii="Calibri" w:hAnsi="Calibri" w:cs="Calibri"/>
          <w:szCs w:val="22"/>
        </w:rPr>
      </w:pPr>
      <w:r w:rsidRPr="009A597A">
        <w:rPr>
          <w:rFonts w:ascii="Calibri" w:hAnsi="Calibri" w:cs="Calibri"/>
          <w:szCs w:val="22"/>
        </w:rPr>
        <w:t xml:space="preserve">De justitiële hervormingen die via het Justitieprogramma worden ondersteund, richten zich op het verbeteren van de effectiviteit, transparantie en digitalisering van nationale rechtssystemen, het versterken van de capaciteiten van rechterlijke autoriteiten en andere justitiële actoren, en het bevorderen van de toegang tot het recht voor alle burgers, inclusief via moderne digitale technologieën als </w:t>
      </w:r>
      <w:r w:rsidRPr="009A597A">
        <w:rPr>
          <w:rFonts w:ascii="Calibri" w:hAnsi="Calibri" w:cs="Calibri"/>
          <w:i/>
          <w:iCs/>
          <w:szCs w:val="22"/>
        </w:rPr>
        <w:t>e-Justice</w:t>
      </w:r>
      <w:r w:rsidRPr="009A597A">
        <w:rPr>
          <w:rFonts w:ascii="Calibri" w:hAnsi="Calibri" w:cs="Calibri"/>
          <w:szCs w:val="22"/>
        </w:rPr>
        <w:t xml:space="preserve"> en AI in de rechtspraak.</w:t>
      </w:r>
    </w:p>
    <w:p w:rsidRPr="009A597A" w:rsidR="00C76689" w:rsidP="009A597A" w:rsidRDefault="00C76689" w14:paraId="5CD8EB2B" w14:textId="77777777">
      <w:pPr>
        <w:spacing w:after="160" w:line="240" w:lineRule="auto"/>
        <w:rPr>
          <w:rFonts w:ascii="Calibri" w:hAnsi="Calibri" w:cs="Calibri"/>
          <w:szCs w:val="22"/>
        </w:rPr>
      </w:pPr>
      <w:r w:rsidRPr="009A597A">
        <w:rPr>
          <w:rFonts w:ascii="Calibri" w:hAnsi="Calibri" w:cs="Calibri"/>
          <w:szCs w:val="22"/>
        </w:rPr>
        <w:t xml:space="preserve">Hierbij faciliteert het programma praktische samenwerking en kennisuitwisseling tussen EU-lidstaten en kandidaat-lidstaten door het opzetten van geïnstitutionaliseerde netwerken en platforms, waardoor </w:t>
      </w:r>
      <w:r w:rsidRPr="009A597A">
        <w:rPr>
          <w:rFonts w:ascii="Calibri" w:hAnsi="Calibri" w:cs="Calibri"/>
          <w:i/>
          <w:iCs/>
          <w:szCs w:val="22"/>
        </w:rPr>
        <w:t>best practices</w:t>
      </w:r>
      <w:r w:rsidRPr="009A597A">
        <w:rPr>
          <w:rFonts w:ascii="Calibri" w:hAnsi="Calibri" w:cs="Calibri"/>
          <w:szCs w:val="22"/>
        </w:rPr>
        <w:t xml:space="preserve"> breder worden geïmplementeerd en rechtssystemen beter op EU-normen worden afgestemd. </w:t>
      </w:r>
      <w:r w:rsidRPr="009A597A" w:rsidR="00BC7A92">
        <w:rPr>
          <w:rFonts w:ascii="Calibri" w:hAnsi="Calibri" w:cs="Calibri"/>
          <w:szCs w:val="22"/>
        </w:rPr>
        <w:t xml:space="preserve">Dit verhoogt de algehele coherentie van het Europese rechtsgebied, en draagt bij aan een transparante, voorspelbare rechtsstaat die essentieel is voor een sterk investeringsklimaat en sociale cohesie binnen zowel huidige als potentiële </w:t>
      </w:r>
      <w:r w:rsidRPr="009A597A">
        <w:rPr>
          <w:rFonts w:ascii="Calibri" w:hAnsi="Calibri" w:cs="Calibri"/>
          <w:szCs w:val="22"/>
        </w:rPr>
        <w:t>lidstaten.</w:t>
      </w:r>
    </w:p>
    <w:p w:rsidRPr="009A597A" w:rsidR="00990C8D" w:rsidP="009A597A" w:rsidRDefault="00CB7FF8" w14:paraId="08C2BFD2" w14:textId="77777777">
      <w:pPr>
        <w:pStyle w:val="Spreekpunten"/>
        <w:numPr>
          <w:ilvl w:val="0"/>
          <w:numId w:val="5"/>
        </w:numPr>
        <w:spacing w:after="160" w:line="240" w:lineRule="auto"/>
        <w:rPr>
          <w:rFonts w:ascii="Calibri" w:hAnsi="Calibri" w:cs="Calibri"/>
          <w:i/>
          <w:sz w:val="22"/>
          <w:szCs w:val="22"/>
          <w:lang w:val="nl-NL" w:eastAsia="zh-CN"/>
        </w:rPr>
      </w:pPr>
      <w:r w:rsidRPr="009A597A">
        <w:rPr>
          <w:rFonts w:ascii="Calibri" w:hAnsi="Calibri" w:cs="Calibri"/>
          <w:i/>
          <w:iCs/>
          <w:sz w:val="22"/>
          <w:szCs w:val="22"/>
          <w:lang w:val="nl-NL" w:eastAsia="zh-CN"/>
        </w:rPr>
        <w:t>Impact assessment Commissie</w:t>
      </w:r>
    </w:p>
    <w:p w:rsidRPr="009A597A" w:rsidR="00990C8D" w:rsidP="009A597A" w:rsidRDefault="00990C8D" w14:paraId="2EF3645D" w14:textId="1FABC353">
      <w:pPr>
        <w:spacing w:after="160" w:line="240" w:lineRule="auto"/>
        <w:rPr>
          <w:rFonts w:ascii="Calibri" w:hAnsi="Calibri" w:cs="Calibri"/>
          <w:szCs w:val="22"/>
        </w:rPr>
      </w:pPr>
      <w:r w:rsidRPr="009A597A">
        <w:rPr>
          <w:rFonts w:ascii="Calibri" w:hAnsi="Calibri" w:cs="Calibri"/>
          <w:szCs w:val="22"/>
        </w:rPr>
        <w:t xml:space="preserve">De Commissie heeft voor het Justitieprogramma geen afzonderlijk impact assessment opgesteld, maar verwijst naar </w:t>
      </w:r>
      <w:r w:rsidRPr="009A597A" w:rsidR="6F5465E6">
        <w:rPr>
          <w:rFonts w:ascii="Calibri" w:hAnsi="Calibri" w:cs="Calibri"/>
          <w:szCs w:val="22"/>
        </w:rPr>
        <w:t xml:space="preserve">het </w:t>
      </w:r>
      <w:r w:rsidRPr="009A597A">
        <w:rPr>
          <w:rFonts w:ascii="Calibri" w:hAnsi="Calibri" w:cs="Calibri"/>
          <w:szCs w:val="22"/>
        </w:rPr>
        <w:t>gezamenlijke impact assessment d</w:t>
      </w:r>
      <w:r w:rsidRPr="009A597A" w:rsidR="6F5465E6">
        <w:rPr>
          <w:rFonts w:ascii="Calibri" w:hAnsi="Calibri" w:cs="Calibri"/>
          <w:szCs w:val="22"/>
        </w:rPr>
        <w:t>at</w:t>
      </w:r>
      <w:r w:rsidRPr="009A597A">
        <w:rPr>
          <w:rFonts w:ascii="Calibri" w:hAnsi="Calibri" w:cs="Calibri"/>
          <w:szCs w:val="22"/>
        </w:rPr>
        <w:t xml:space="preserve"> is uitgevoerd voor het clusterprogramma binnen het nieuwe MFK (2028–2034) op het terrein van grensoverschrijdend onderwijs, jeugd, cultuur, media, waarden, </w:t>
      </w:r>
      <w:r w:rsidRPr="009A597A" w:rsidR="00CA089B">
        <w:rPr>
          <w:rFonts w:ascii="Calibri" w:hAnsi="Calibri" w:cs="Calibri"/>
          <w:szCs w:val="22"/>
        </w:rPr>
        <w:t>maatschappelijk middenveld</w:t>
      </w:r>
      <w:r w:rsidRPr="009A597A">
        <w:rPr>
          <w:rFonts w:ascii="Calibri" w:hAnsi="Calibri" w:cs="Calibri"/>
          <w:szCs w:val="22"/>
        </w:rPr>
        <w:t xml:space="preserve"> en justitie. </w:t>
      </w:r>
      <w:r w:rsidRPr="009A597A" w:rsidR="005C2ABB">
        <w:rPr>
          <w:rFonts w:ascii="Calibri" w:hAnsi="Calibri" w:cs="Calibri"/>
          <w:szCs w:val="22"/>
        </w:rPr>
        <w:t xml:space="preserve">Ook </w:t>
      </w:r>
      <w:r w:rsidRPr="009A597A">
        <w:rPr>
          <w:rFonts w:ascii="Calibri" w:hAnsi="Calibri" w:cs="Calibri"/>
          <w:szCs w:val="22"/>
        </w:rPr>
        <w:t>zijn de eindbeoordeling van het vorige Justitieprogramma (2014–2020) en de tussentijdse evaluatie van het huidige programma (2021–2027) benut.</w:t>
      </w:r>
      <w:r w:rsidRPr="009A597A" w:rsidR="00021864">
        <w:rPr>
          <w:rFonts w:ascii="Calibri" w:hAnsi="Calibri" w:cs="Calibri"/>
          <w:szCs w:val="22"/>
        </w:rPr>
        <w:t xml:space="preserve"> Het kabinet acht dit afdoende en kan zich er daarom in vinden dat er geen afzonderlijk impact assessment is gedaan.</w:t>
      </w:r>
    </w:p>
    <w:p w:rsidRPr="009A597A" w:rsidR="00845645" w:rsidP="009A597A" w:rsidRDefault="00990C8D" w14:paraId="14A6B733" w14:textId="3807FB87">
      <w:pPr>
        <w:spacing w:after="160" w:line="240" w:lineRule="auto"/>
        <w:rPr>
          <w:rFonts w:ascii="Calibri" w:hAnsi="Calibri" w:cs="Calibri"/>
          <w:szCs w:val="22"/>
        </w:rPr>
      </w:pPr>
      <w:r w:rsidRPr="009A597A">
        <w:rPr>
          <w:rFonts w:ascii="Calibri" w:hAnsi="Calibri" w:cs="Calibri"/>
          <w:szCs w:val="22"/>
        </w:rPr>
        <w:t>De tussentijdse evaluatie van het huidige programma laat zien dat het Justitieprogramma in hoge mate bijdraagt aan wederzijdse erkenning van rechterlijke beslissingen en het versterken van de samenwerking tussen lidstaten. Ook de ondersteuning van rechterlijke opleiding en kennisuitwisseling wordt als zeer relevant en effectief beoordeeld. Het programma heeft daarnaast geholpen om kwetsbare groepen beter toegang tot het recht te bieden en het gebruik van digitale instrumenten in de rechtspraak te stimuleren.</w:t>
      </w:r>
      <w:r w:rsidRPr="009A597A" w:rsidR="00845645">
        <w:rPr>
          <w:rFonts w:ascii="Calibri" w:hAnsi="Calibri" w:cs="Calibri"/>
          <w:szCs w:val="22"/>
        </w:rPr>
        <w:t xml:space="preserve"> </w:t>
      </w:r>
      <w:r w:rsidRPr="009A597A">
        <w:rPr>
          <w:rFonts w:ascii="Calibri" w:hAnsi="Calibri" w:cs="Calibri"/>
          <w:szCs w:val="22"/>
        </w:rPr>
        <w:t>Tegelijkertijd wijzen de evaluaties uit dat er ruimte is voor verbetering. Het bereik van het programma is nog beperkt, met name onder maatschappelijke organisaties en bepaalde beroepsgroepen. Ook kan de communicatie over beschikbare middelen sterker. Daarnaast wordt geconstateerd dat de digitalisering van justitie, ondanks versnelling tijdens de COVID-19-pandemie, ongelijkmatig verloopt tussen lidstaten.</w:t>
      </w:r>
    </w:p>
    <w:p w:rsidRPr="009A597A" w:rsidR="00990C8D" w:rsidP="009A597A" w:rsidRDefault="00990C8D" w14:paraId="5ACEE895" w14:textId="77777777">
      <w:pPr>
        <w:spacing w:after="160" w:line="240" w:lineRule="auto"/>
        <w:rPr>
          <w:rFonts w:ascii="Calibri" w:hAnsi="Calibri" w:cs="Calibri"/>
          <w:szCs w:val="22"/>
        </w:rPr>
      </w:pPr>
      <w:r w:rsidRPr="009A597A">
        <w:rPr>
          <w:rFonts w:ascii="Calibri" w:hAnsi="Calibri" w:cs="Calibri"/>
          <w:szCs w:val="22"/>
        </w:rPr>
        <w:t xml:space="preserve">De Commissie concludeert dat voortzetting en versterking van het programma noodzakelijk zijn, met name door meer nadruk te leggen op digitalisering en interoperabiliteit, en door het programma zichtbaarder en toegankelijker te maken. Deze bevindingen zijn meegenomen in het nieuwe </w:t>
      </w:r>
      <w:r w:rsidRPr="009A597A">
        <w:rPr>
          <w:rFonts w:ascii="Calibri" w:hAnsi="Calibri" w:cs="Calibri"/>
          <w:szCs w:val="22"/>
        </w:rPr>
        <w:lastRenderedPageBreak/>
        <w:t>voorstel, dat ook voorziet in vereenvoudiging van de financieringsverstrekking en betere aansluiting bij andere EU-fondsen.</w:t>
      </w:r>
    </w:p>
    <w:p w:rsidRPr="009A597A" w:rsidR="0060183C" w:rsidP="009A597A" w:rsidRDefault="0060183C" w14:paraId="4EBD79CA" w14:textId="77777777">
      <w:pPr>
        <w:spacing w:after="160" w:line="240" w:lineRule="auto"/>
        <w:rPr>
          <w:rFonts w:ascii="Calibri" w:hAnsi="Calibri" w:cs="Calibri"/>
          <w:bCs/>
          <w:szCs w:val="22"/>
        </w:rPr>
      </w:pPr>
    </w:p>
    <w:p w:rsidRPr="009A597A" w:rsidR="00CB7FF8" w:rsidP="009A597A" w:rsidRDefault="00CB7FF8" w14:paraId="55F6162B" w14:textId="77777777">
      <w:pPr>
        <w:numPr>
          <w:ilvl w:val="0"/>
          <w:numId w:val="3"/>
        </w:numPr>
        <w:spacing w:after="160" w:line="240" w:lineRule="auto"/>
        <w:rPr>
          <w:rFonts w:ascii="Calibri" w:hAnsi="Calibri" w:cs="Calibri"/>
          <w:b/>
          <w:szCs w:val="22"/>
        </w:rPr>
      </w:pPr>
      <w:r w:rsidRPr="009A597A">
        <w:rPr>
          <w:rFonts w:ascii="Calibri" w:hAnsi="Calibri" w:cs="Calibri"/>
          <w:b/>
          <w:szCs w:val="22"/>
        </w:rPr>
        <w:t>Nederlandse</w:t>
      </w:r>
      <w:r w:rsidRPr="009A597A" w:rsidR="00F74E07">
        <w:rPr>
          <w:rFonts w:ascii="Calibri" w:hAnsi="Calibri" w:cs="Calibri"/>
          <w:b/>
          <w:szCs w:val="22"/>
        </w:rPr>
        <w:t xml:space="preserve"> positie ten aanzien van het</w:t>
      </w:r>
      <w:r w:rsidRPr="009A597A">
        <w:rPr>
          <w:rFonts w:ascii="Calibri" w:hAnsi="Calibri" w:cs="Calibri"/>
          <w:b/>
          <w:szCs w:val="22"/>
        </w:rPr>
        <w:t xml:space="preserve"> voorstel </w:t>
      </w:r>
    </w:p>
    <w:p w:rsidRPr="009A597A" w:rsidR="00F74E07" w:rsidP="009A597A" w:rsidRDefault="00F74E07" w14:paraId="5CBD5D04" w14:textId="77777777">
      <w:pPr>
        <w:numPr>
          <w:ilvl w:val="0"/>
          <w:numId w:val="6"/>
        </w:numPr>
        <w:spacing w:after="160" w:line="240" w:lineRule="auto"/>
        <w:rPr>
          <w:rFonts w:ascii="Calibri" w:hAnsi="Calibri" w:cs="Calibri"/>
          <w:i/>
          <w:szCs w:val="22"/>
        </w:rPr>
      </w:pPr>
      <w:r w:rsidRPr="009A597A">
        <w:rPr>
          <w:rFonts w:ascii="Calibri" w:hAnsi="Calibri" w:cs="Calibri"/>
          <w:i/>
          <w:szCs w:val="22"/>
        </w:rPr>
        <w:t>Essentie Nederlands beleid op dit terrein</w:t>
      </w:r>
    </w:p>
    <w:p w:rsidRPr="009A597A" w:rsidR="005C2ABB" w:rsidP="009A597A" w:rsidRDefault="005C2ABB" w14:paraId="67A643C8" w14:textId="791E6B29">
      <w:pPr>
        <w:pStyle w:val="Spreekpunten"/>
        <w:numPr>
          <w:ilvl w:val="0"/>
          <w:numId w:val="0"/>
        </w:numPr>
        <w:spacing w:after="160" w:line="240" w:lineRule="auto"/>
        <w:rPr>
          <w:rFonts w:ascii="Calibri" w:hAnsi="Calibri" w:cs="Calibri"/>
          <w:sz w:val="22"/>
          <w:szCs w:val="22"/>
          <w:lang w:val="nl-NL"/>
        </w:rPr>
      </w:pPr>
      <w:r w:rsidRPr="009A597A">
        <w:rPr>
          <w:rFonts w:ascii="Calibri" w:hAnsi="Calibri" w:cs="Calibri"/>
          <w:sz w:val="22"/>
          <w:szCs w:val="22"/>
          <w:lang w:val="nl-NL"/>
        </w:rPr>
        <w:t>De Kamerbrief van 28 maart 2025</w:t>
      </w:r>
      <w:r w:rsidRPr="009A597A">
        <w:rPr>
          <w:rFonts w:ascii="Calibri" w:hAnsi="Calibri" w:cs="Calibri"/>
          <w:sz w:val="22"/>
          <w:szCs w:val="22"/>
          <w:vertAlign w:val="superscript"/>
        </w:rPr>
        <w:footnoteReference w:id="2"/>
      </w:r>
      <w:r w:rsidRPr="009A597A">
        <w:rPr>
          <w:rFonts w:ascii="Calibri" w:hAnsi="Calibri" w:cs="Calibri"/>
          <w:sz w:val="22"/>
          <w:szCs w:val="22"/>
          <w:lang w:val="nl-NL"/>
        </w:rPr>
        <w:t xml:space="preserve"> over de Nederlandse inzet voor het volgend MFK en de Kamerbrief </w:t>
      </w:r>
      <w:r w:rsidRPr="009A597A" w:rsidR="0057336A">
        <w:rPr>
          <w:rFonts w:ascii="Calibri" w:hAnsi="Calibri" w:cs="Calibri"/>
          <w:sz w:val="22"/>
          <w:szCs w:val="22"/>
          <w:lang w:val="nl-NL"/>
        </w:rPr>
        <w:t>van 12 september 2025</w:t>
      </w:r>
      <w:r w:rsidRPr="009A597A" w:rsidR="0057336A">
        <w:rPr>
          <w:rStyle w:val="Voetnootmarkering"/>
          <w:rFonts w:ascii="Calibri" w:hAnsi="Calibri" w:cs="Calibri"/>
          <w:sz w:val="22"/>
          <w:szCs w:val="22"/>
          <w:lang w:val="nl-NL"/>
        </w:rPr>
        <w:footnoteReference w:id="3"/>
      </w:r>
      <w:r w:rsidRPr="009A597A" w:rsidR="0057336A">
        <w:rPr>
          <w:rFonts w:ascii="Calibri" w:hAnsi="Calibri" w:cs="Calibri"/>
          <w:sz w:val="22"/>
          <w:szCs w:val="22"/>
          <w:lang w:val="nl-NL"/>
        </w:rPr>
        <w:t xml:space="preserve"> </w:t>
      </w:r>
      <w:r w:rsidRPr="009A597A">
        <w:rPr>
          <w:rFonts w:ascii="Calibri" w:hAnsi="Calibri" w:cs="Calibri"/>
          <w:sz w:val="22"/>
          <w:szCs w:val="22"/>
          <w:lang w:val="nl-NL"/>
        </w:rPr>
        <w:t xml:space="preserve">met kabinetsappreciatie van de MFK-voorstellen van de Commissie voor het volgend MFK zijn de basis voor de Nederlandse onderhandelingspositie en leidend t.o.v. de BNC-fiches over de onderliggende MFK-voorstellen. De overkoepelende Nederlandse inzet richt zich op een ambitieus gemoderniseerd en financieel houdbaar MFK waarbij de focus gelegd dient te worden op strategische prioriteiten. </w:t>
      </w:r>
    </w:p>
    <w:p w:rsidRPr="009A597A" w:rsidR="005C2ABB" w:rsidP="009A597A" w:rsidRDefault="005C2ABB" w14:paraId="70834DFC" w14:textId="77777777">
      <w:pPr>
        <w:pStyle w:val="Spreekpunten"/>
        <w:numPr>
          <w:ilvl w:val="0"/>
          <w:numId w:val="0"/>
        </w:numPr>
        <w:spacing w:after="160" w:line="240" w:lineRule="auto"/>
        <w:rPr>
          <w:rFonts w:ascii="Calibri" w:hAnsi="Calibri" w:cs="Calibri"/>
          <w:sz w:val="22"/>
          <w:szCs w:val="22"/>
          <w:lang w:val="nl-NL"/>
        </w:rPr>
      </w:pPr>
    </w:p>
    <w:p w:rsidRPr="009A597A" w:rsidR="005C2ABB" w:rsidP="009A597A" w:rsidRDefault="005C2ABB" w14:paraId="78539FD3" w14:textId="77777777">
      <w:pPr>
        <w:pStyle w:val="Spreekpunten"/>
        <w:numPr>
          <w:ilvl w:val="0"/>
          <w:numId w:val="0"/>
        </w:numPr>
        <w:spacing w:after="160" w:line="240" w:lineRule="auto"/>
        <w:rPr>
          <w:rFonts w:ascii="Calibri" w:hAnsi="Calibri" w:cs="Calibri"/>
          <w:sz w:val="22"/>
          <w:szCs w:val="22"/>
          <w:lang w:val="nl-NL"/>
        </w:rPr>
      </w:pPr>
      <w:r w:rsidRPr="009A597A">
        <w:rPr>
          <w:rFonts w:ascii="Calibri" w:hAnsi="Calibri" w:cs="Calibri"/>
          <w:sz w:val="22"/>
          <w:szCs w:val="22"/>
          <w:lang w:val="nl-NL"/>
        </w:rPr>
        <w:t xml:space="preserve">In het licht van huidige geopolitieke spanningen is een financieel weerbaar Europa van groot belang voor onze veiligheid en welvaart. De voorstellen voor het nieuwe MFK en </w:t>
      </w:r>
      <w:r w:rsidRPr="009A597A" w:rsidR="0081694C">
        <w:rPr>
          <w:rFonts w:ascii="Calibri" w:hAnsi="Calibri" w:cs="Calibri"/>
          <w:sz w:val="22"/>
          <w:szCs w:val="22"/>
          <w:lang w:val="nl-NL"/>
        </w:rPr>
        <w:t xml:space="preserve">het </w:t>
      </w:r>
      <w:r w:rsidRPr="009A597A" w:rsidR="00002939">
        <w:rPr>
          <w:rFonts w:ascii="Calibri" w:hAnsi="Calibri" w:cs="Calibri"/>
          <w:sz w:val="22"/>
          <w:szCs w:val="22"/>
          <w:lang w:val="nl-NL"/>
        </w:rPr>
        <w:t>e</w:t>
      </w:r>
      <w:r w:rsidRPr="009A597A" w:rsidR="0081694C">
        <w:rPr>
          <w:rFonts w:ascii="Calibri" w:hAnsi="Calibri" w:cs="Calibri"/>
          <w:sz w:val="22"/>
          <w:szCs w:val="22"/>
          <w:lang w:val="nl-NL"/>
        </w:rPr>
        <w:t>igen</w:t>
      </w:r>
      <w:r w:rsidRPr="009A597A" w:rsidR="00002939">
        <w:rPr>
          <w:rFonts w:ascii="Calibri" w:hAnsi="Calibri" w:cs="Calibri"/>
          <w:sz w:val="22"/>
          <w:szCs w:val="22"/>
          <w:lang w:val="nl-NL"/>
        </w:rPr>
        <w:t>m</w:t>
      </w:r>
      <w:r w:rsidRPr="009A597A" w:rsidR="0081694C">
        <w:rPr>
          <w:rFonts w:ascii="Calibri" w:hAnsi="Calibri" w:cs="Calibri"/>
          <w:sz w:val="22"/>
          <w:szCs w:val="22"/>
          <w:lang w:val="nl-NL"/>
        </w:rPr>
        <w:t>iddelen</w:t>
      </w:r>
      <w:r w:rsidRPr="009A597A" w:rsidR="00002939">
        <w:rPr>
          <w:rFonts w:ascii="Calibri" w:hAnsi="Calibri" w:cs="Calibri"/>
          <w:sz w:val="22"/>
          <w:szCs w:val="22"/>
          <w:lang w:val="nl-NL"/>
        </w:rPr>
        <w:t>b</w:t>
      </w:r>
      <w:r w:rsidRPr="009A597A" w:rsidR="0081694C">
        <w:rPr>
          <w:rFonts w:ascii="Calibri" w:hAnsi="Calibri" w:cs="Calibri"/>
          <w:sz w:val="22"/>
          <w:szCs w:val="22"/>
          <w:lang w:val="nl-NL"/>
        </w:rPr>
        <w:t xml:space="preserve">esluit </w:t>
      </w:r>
      <w:r w:rsidRPr="009A597A">
        <w:rPr>
          <w:rFonts w:ascii="Calibri" w:hAnsi="Calibri" w:cs="Calibri"/>
          <w:sz w:val="22"/>
          <w:szCs w:val="22"/>
          <w:lang w:val="nl-NL"/>
        </w:rPr>
        <w:t>komen bovendien in een tijd waarin veel lidstaten te maken hebben met budgettaire uitdagingen door hoge schulden en oplopende tekorten. Door de grote toekomstige uitdagingen en budgettaire situatie van lidstaten is het kabinet van mening dat de EU in het MFK scherp moet herprioriteren en kritisch moet kijken naar de besteding van Europese publieke middelen.</w:t>
      </w:r>
    </w:p>
    <w:p w:rsidRPr="009A597A" w:rsidR="005C2ABB" w:rsidP="009A597A" w:rsidRDefault="005C2ABB" w14:paraId="3B27556B" w14:textId="77777777">
      <w:pPr>
        <w:pStyle w:val="Spreekpunten"/>
        <w:numPr>
          <w:ilvl w:val="0"/>
          <w:numId w:val="0"/>
        </w:numPr>
        <w:spacing w:after="160" w:line="240" w:lineRule="auto"/>
        <w:ind w:left="360"/>
        <w:rPr>
          <w:rFonts w:ascii="Calibri" w:hAnsi="Calibri" w:cs="Calibri"/>
          <w:sz w:val="22"/>
          <w:szCs w:val="22"/>
          <w:lang w:val="nl-NL"/>
        </w:rPr>
      </w:pPr>
    </w:p>
    <w:p w:rsidRPr="009A597A" w:rsidR="005C2ABB" w:rsidP="009A597A" w:rsidRDefault="005C2ABB" w14:paraId="6F04B5C5" w14:textId="77777777">
      <w:pPr>
        <w:pStyle w:val="Spreekpunten"/>
        <w:numPr>
          <w:ilvl w:val="0"/>
          <w:numId w:val="0"/>
        </w:numPr>
        <w:spacing w:after="160" w:line="240" w:lineRule="auto"/>
        <w:rPr>
          <w:rFonts w:ascii="Calibri" w:hAnsi="Calibri" w:cs="Calibri"/>
          <w:sz w:val="22"/>
          <w:szCs w:val="22"/>
          <w:lang w:val="nl-NL"/>
        </w:rPr>
      </w:pPr>
      <w:r w:rsidRPr="009A597A">
        <w:rPr>
          <w:rFonts w:ascii="Calibri" w:hAnsi="Calibri" w:cs="Calibri"/>
          <w:sz w:val="22"/>
          <w:szCs w:val="22"/>
          <w:lang w:val="nl-NL"/>
        </w:rPr>
        <w:t>Middelen op de EU-begroting dienen besteed te worden waar de meeste toegevoegde waarde voor de EU zit. De belangrijkste inhoudelijke prioriteiten voor het MFK zijn het versterken van het Europees concurrentievermogen met een sterke interne markt en inzet op onderzoek en innovatie als fundament, een stevig migratie- en asielbeleid, en veiligheid en defensie.</w:t>
      </w:r>
    </w:p>
    <w:p w:rsidRPr="009A597A" w:rsidR="00C76689" w:rsidP="009A597A" w:rsidRDefault="00C76689" w14:paraId="22BE46D9" w14:textId="77777777">
      <w:pPr>
        <w:pStyle w:val="Spreekpunten"/>
        <w:numPr>
          <w:ilvl w:val="0"/>
          <w:numId w:val="0"/>
        </w:numPr>
        <w:spacing w:after="160" w:line="240" w:lineRule="auto"/>
        <w:rPr>
          <w:rFonts w:ascii="Calibri" w:hAnsi="Calibri" w:cs="Calibri"/>
          <w:sz w:val="22"/>
          <w:szCs w:val="22"/>
          <w:lang w:val="nl-NL"/>
        </w:rPr>
      </w:pPr>
    </w:p>
    <w:p w:rsidRPr="009A597A" w:rsidR="00845645" w:rsidP="009A597A" w:rsidRDefault="00C76689" w14:paraId="78B0A51B" w14:textId="1645C99C">
      <w:pPr>
        <w:spacing w:after="160" w:line="240" w:lineRule="auto"/>
        <w:rPr>
          <w:rFonts w:ascii="Calibri" w:hAnsi="Calibri" w:cs="Calibri"/>
          <w:szCs w:val="22"/>
        </w:rPr>
      </w:pPr>
      <w:r w:rsidRPr="009A597A">
        <w:rPr>
          <w:rFonts w:ascii="Calibri" w:hAnsi="Calibri" w:cs="Calibri"/>
          <w:szCs w:val="22"/>
        </w:rPr>
        <w:t xml:space="preserve">Het kabinet zet in op versterking van de rechtsstaat en toegang tot het recht, waarbij </w:t>
      </w:r>
      <w:r w:rsidRPr="009A597A" w:rsidR="00127EB6">
        <w:rPr>
          <w:rFonts w:ascii="Calibri" w:hAnsi="Calibri" w:cs="Calibri"/>
          <w:szCs w:val="22"/>
        </w:rPr>
        <w:t xml:space="preserve">ook de </w:t>
      </w:r>
      <w:r w:rsidRPr="009A597A">
        <w:rPr>
          <w:rFonts w:ascii="Calibri" w:hAnsi="Calibri" w:cs="Calibri"/>
          <w:szCs w:val="22"/>
        </w:rPr>
        <w:t xml:space="preserve">digitalisering en interoperabiliteit van </w:t>
      </w:r>
      <w:r w:rsidRPr="009A597A" w:rsidR="00B03DC5">
        <w:rPr>
          <w:rFonts w:ascii="Calibri" w:hAnsi="Calibri" w:cs="Calibri"/>
          <w:szCs w:val="22"/>
        </w:rPr>
        <w:t xml:space="preserve">rechtssystemen </w:t>
      </w:r>
      <w:r w:rsidRPr="009A597A" w:rsidR="00127EB6">
        <w:rPr>
          <w:rFonts w:ascii="Calibri" w:hAnsi="Calibri" w:cs="Calibri"/>
          <w:szCs w:val="22"/>
        </w:rPr>
        <w:t>een</w:t>
      </w:r>
      <w:r w:rsidRPr="009A597A" w:rsidDel="00B03DC5">
        <w:rPr>
          <w:rFonts w:ascii="Calibri" w:hAnsi="Calibri" w:cs="Calibri"/>
          <w:szCs w:val="22"/>
        </w:rPr>
        <w:t xml:space="preserve"> </w:t>
      </w:r>
      <w:r w:rsidRPr="009A597A">
        <w:rPr>
          <w:rFonts w:ascii="Calibri" w:hAnsi="Calibri" w:cs="Calibri"/>
          <w:szCs w:val="22"/>
        </w:rPr>
        <w:t xml:space="preserve">centraal </w:t>
      </w:r>
      <w:r w:rsidRPr="009A597A" w:rsidR="00127EB6">
        <w:rPr>
          <w:rFonts w:ascii="Calibri" w:hAnsi="Calibri" w:cs="Calibri"/>
          <w:szCs w:val="22"/>
        </w:rPr>
        <w:t xml:space="preserve">onderdeel </w:t>
      </w:r>
      <w:r w:rsidRPr="009A597A" w:rsidDel="00127EB6" w:rsidR="00127EB6">
        <w:rPr>
          <w:rFonts w:ascii="Calibri" w:hAnsi="Calibri" w:cs="Calibri"/>
          <w:szCs w:val="22"/>
        </w:rPr>
        <w:t xml:space="preserve">van </w:t>
      </w:r>
      <w:r w:rsidRPr="009A597A" w:rsidR="00127EB6">
        <w:rPr>
          <w:rFonts w:ascii="Calibri" w:hAnsi="Calibri" w:cs="Calibri"/>
          <w:szCs w:val="22"/>
        </w:rPr>
        <w:t>zijn</w:t>
      </w:r>
      <w:r w:rsidRPr="009A597A">
        <w:rPr>
          <w:rFonts w:ascii="Calibri" w:hAnsi="Calibri" w:cs="Calibri"/>
          <w:szCs w:val="22"/>
        </w:rPr>
        <w:t>. Daarbij wordt bijzondere aandacht besteed aan het verbeteren van de effectiviteit en transparantie van rechtssystemen</w:t>
      </w:r>
      <w:r w:rsidRPr="009A597A" w:rsidR="6CF927BA">
        <w:rPr>
          <w:rFonts w:ascii="Calibri" w:hAnsi="Calibri" w:cs="Calibri"/>
          <w:szCs w:val="22"/>
        </w:rPr>
        <w:t xml:space="preserve"> en</w:t>
      </w:r>
      <w:r w:rsidRPr="009A597A">
        <w:rPr>
          <w:rFonts w:ascii="Calibri" w:hAnsi="Calibri" w:cs="Calibri"/>
          <w:szCs w:val="22"/>
        </w:rPr>
        <w:t xml:space="preserve"> het bevorderen van grensoverschrijdende justitiële samenwerking</w:t>
      </w:r>
      <w:r w:rsidRPr="009A597A" w:rsidR="6CF927BA">
        <w:rPr>
          <w:rFonts w:ascii="Calibri" w:hAnsi="Calibri" w:cs="Calibri"/>
          <w:szCs w:val="22"/>
        </w:rPr>
        <w:t>.</w:t>
      </w:r>
      <w:r w:rsidRPr="009A597A">
        <w:rPr>
          <w:rFonts w:ascii="Calibri" w:hAnsi="Calibri" w:cs="Calibri"/>
          <w:szCs w:val="22"/>
        </w:rPr>
        <w:t xml:space="preserve"> </w:t>
      </w:r>
      <w:r w:rsidRPr="009A597A" w:rsidR="6CF927BA">
        <w:rPr>
          <w:rFonts w:ascii="Calibri" w:hAnsi="Calibri" w:cs="Calibri"/>
          <w:szCs w:val="22"/>
        </w:rPr>
        <w:t>H</w:t>
      </w:r>
      <w:r w:rsidRPr="009A597A">
        <w:rPr>
          <w:rFonts w:ascii="Calibri" w:hAnsi="Calibri" w:cs="Calibri"/>
          <w:szCs w:val="22"/>
        </w:rPr>
        <w:t xml:space="preserve">et </w:t>
      </w:r>
      <w:r w:rsidRPr="009A597A" w:rsidR="36D87F67">
        <w:rPr>
          <w:rFonts w:ascii="Calibri" w:hAnsi="Calibri" w:cs="Calibri"/>
          <w:szCs w:val="22"/>
        </w:rPr>
        <w:t xml:space="preserve">borgen en versterken van toegang tot het </w:t>
      </w:r>
      <w:r w:rsidRPr="009A597A" w:rsidR="520AB14A">
        <w:rPr>
          <w:rFonts w:ascii="Calibri" w:hAnsi="Calibri" w:cs="Calibri"/>
          <w:szCs w:val="22"/>
        </w:rPr>
        <w:t xml:space="preserve">recht </w:t>
      </w:r>
      <w:r w:rsidRPr="009A597A" w:rsidR="6CF927BA">
        <w:rPr>
          <w:rFonts w:ascii="Calibri" w:hAnsi="Calibri" w:cs="Calibri"/>
          <w:szCs w:val="22"/>
        </w:rPr>
        <w:t xml:space="preserve">is een belangrijk uitgangspunt, </w:t>
      </w:r>
      <w:r w:rsidRPr="009A597A" w:rsidR="520AB14A">
        <w:rPr>
          <w:rFonts w:ascii="Calibri" w:hAnsi="Calibri" w:cs="Calibri"/>
          <w:szCs w:val="22"/>
        </w:rPr>
        <w:t>waarbij de rechtszoekende centraal staat</w:t>
      </w:r>
      <w:r w:rsidRPr="009A597A" w:rsidR="00BC7A92">
        <w:rPr>
          <w:rFonts w:ascii="Calibri" w:hAnsi="Calibri" w:cs="Calibri"/>
          <w:szCs w:val="22"/>
        </w:rPr>
        <w:t>.</w:t>
      </w:r>
      <w:r w:rsidRPr="009A597A" w:rsidR="2ED58CDE">
        <w:rPr>
          <w:rFonts w:ascii="Calibri" w:hAnsi="Calibri" w:cs="Calibri"/>
          <w:szCs w:val="22"/>
        </w:rPr>
        <w:t xml:space="preserve"> </w:t>
      </w:r>
      <w:r w:rsidRPr="009A597A" w:rsidR="1270FC01">
        <w:rPr>
          <w:rFonts w:ascii="Calibri" w:hAnsi="Calibri" w:cs="Calibri"/>
          <w:szCs w:val="22"/>
        </w:rPr>
        <w:t>B</w:t>
      </w:r>
      <w:r w:rsidRPr="009A597A" w:rsidR="1270FC01">
        <w:rPr>
          <w:rFonts w:ascii="Calibri" w:hAnsi="Calibri" w:eastAsia="Verdana" w:cs="Calibri"/>
          <w:szCs w:val="22"/>
        </w:rPr>
        <w:t>urgers, zzp’ers, bedrijven en organisaties moeten in staat worden gesteld om sneller, eenvoudiger en beter een passende en duurzame oplossing te vinden voor een juridisch probleem.</w:t>
      </w:r>
      <w:r w:rsidRPr="009A597A" w:rsidR="2ED58CDE">
        <w:rPr>
          <w:rFonts w:ascii="Calibri" w:hAnsi="Calibri" w:cs="Calibri"/>
          <w:szCs w:val="22"/>
        </w:rPr>
        <w:t xml:space="preserve"> Ook </w:t>
      </w:r>
      <w:r w:rsidRPr="009A597A" w:rsidR="004B2787">
        <w:rPr>
          <w:rFonts w:ascii="Calibri" w:hAnsi="Calibri" w:cs="Calibri"/>
          <w:szCs w:val="22"/>
        </w:rPr>
        <w:t xml:space="preserve">draagt </w:t>
      </w:r>
      <w:r w:rsidRPr="009A597A" w:rsidR="2ED58CDE">
        <w:rPr>
          <w:rFonts w:ascii="Calibri" w:hAnsi="Calibri" w:cs="Calibri"/>
          <w:szCs w:val="22"/>
        </w:rPr>
        <w:t>Nederland actief</w:t>
      </w:r>
      <w:r w:rsidRPr="009A597A" w:rsidR="004B2787">
        <w:rPr>
          <w:rFonts w:ascii="Calibri" w:hAnsi="Calibri" w:cs="Calibri"/>
          <w:szCs w:val="22"/>
        </w:rPr>
        <w:t xml:space="preserve"> bij aan</w:t>
      </w:r>
      <w:r w:rsidRPr="009A597A" w:rsidR="2ED58CDE">
        <w:rPr>
          <w:rFonts w:ascii="Calibri" w:hAnsi="Calibri" w:cs="Calibri"/>
          <w:szCs w:val="22"/>
        </w:rPr>
        <w:t xml:space="preserve"> de bestrijding van grensoverschrijdende criminaliteit, en hecht het belang aan een sterke Europese rechtscultuur door middel van opleiding en kennisuitwisseling tussen justitiële actoren.</w:t>
      </w:r>
    </w:p>
    <w:p w:rsidRPr="009A597A" w:rsidR="00C76689" w:rsidP="009A597A" w:rsidRDefault="00C76689" w14:paraId="2BBAF871" w14:textId="77777777">
      <w:pPr>
        <w:spacing w:after="160" w:line="240" w:lineRule="auto"/>
        <w:rPr>
          <w:rFonts w:ascii="Calibri" w:hAnsi="Calibri" w:cs="Calibri"/>
          <w:szCs w:val="22"/>
        </w:rPr>
      </w:pPr>
    </w:p>
    <w:p w:rsidRPr="009A597A" w:rsidR="00C03422" w:rsidP="009A597A" w:rsidRDefault="3658664E" w14:paraId="3ED9D5CD" w14:textId="77777777">
      <w:pPr>
        <w:pStyle w:val="Lijstalinea"/>
        <w:numPr>
          <w:ilvl w:val="0"/>
          <w:numId w:val="6"/>
        </w:numPr>
        <w:spacing w:after="160" w:line="240" w:lineRule="auto"/>
        <w:rPr>
          <w:rFonts w:ascii="Calibri" w:hAnsi="Calibri" w:cs="Calibri"/>
          <w:szCs w:val="22"/>
        </w:rPr>
      </w:pPr>
      <w:r w:rsidRPr="009A597A">
        <w:rPr>
          <w:rFonts w:ascii="Calibri" w:hAnsi="Calibri" w:cs="Calibri"/>
          <w:i/>
          <w:iCs/>
          <w:szCs w:val="22"/>
        </w:rPr>
        <w:t>Beoordeling + inzet ten aanzien van dit voorstel</w:t>
      </w:r>
    </w:p>
    <w:p w:rsidRPr="009A597A" w:rsidR="00B873B1" w:rsidP="009A597A" w:rsidRDefault="005C2ABB" w14:paraId="7EF6694B" w14:textId="77777777">
      <w:pPr>
        <w:spacing w:after="160" w:line="240" w:lineRule="auto"/>
        <w:rPr>
          <w:rFonts w:ascii="Calibri" w:hAnsi="Calibri" w:eastAsia="Verdana" w:cs="Calibri"/>
          <w:szCs w:val="22"/>
        </w:rPr>
      </w:pPr>
      <w:r w:rsidRPr="009A597A">
        <w:rPr>
          <w:rFonts w:ascii="Calibri" w:hAnsi="Calibri" w:eastAsia="Verdana" w:cs="Calibri"/>
          <w:szCs w:val="22"/>
        </w:rPr>
        <w:t xml:space="preserve">Het kabinet </w:t>
      </w:r>
      <w:r w:rsidRPr="009A597A" w:rsidR="3658664E">
        <w:rPr>
          <w:rFonts w:ascii="Calibri" w:hAnsi="Calibri" w:eastAsia="Verdana" w:cs="Calibri"/>
          <w:szCs w:val="22"/>
        </w:rPr>
        <w:t xml:space="preserve">beoordeelt het voorstel voor het Justitieprogramma 2028–2034 positief vanwege het cruciale belang van een sterke rechtsstaat, die de basis vormt voor een democratische samenleving en een goed functionerende interne markt. </w:t>
      </w:r>
    </w:p>
    <w:p w:rsidRPr="009A597A" w:rsidR="3658664E" w:rsidP="009A597A" w:rsidRDefault="3658664E" w14:paraId="45EBEFA4" w14:textId="4CCA10E1">
      <w:pPr>
        <w:spacing w:after="160" w:line="240" w:lineRule="auto"/>
        <w:rPr>
          <w:rFonts w:ascii="Calibri" w:hAnsi="Calibri" w:eastAsia="Verdana" w:cs="Calibri"/>
          <w:szCs w:val="22"/>
        </w:rPr>
      </w:pPr>
      <w:r w:rsidRPr="009A597A">
        <w:rPr>
          <w:rFonts w:ascii="Calibri" w:hAnsi="Calibri" w:eastAsia="Verdana" w:cs="Calibri"/>
          <w:szCs w:val="22"/>
        </w:rPr>
        <w:lastRenderedPageBreak/>
        <w:t>Het programma draagt bij aan het versterken van de rechtsstaat binnen de EU door effectieve justitiële samenwerking te faciliteren en te ondersteunen</w:t>
      </w:r>
      <w:r w:rsidRPr="009A597A" w:rsidR="00D768F4">
        <w:rPr>
          <w:rFonts w:ascii="Calibri" w:hAnsi="Calibri" w:eastAsia="Verdana" w:cs="Calibri"/>
          <w:szCs w:val="22"/>
        </w:rPr>
        <w:t>.</w:t>
      </w:r>
      <w:r w:rsidRPr="009A597A" w:rsidDel="00D768F4">
        <w:rPr>
          <w:rFonts w:ascii="Calibri" w:hAnsi="Calibri" w:eastAsia="Verdana" w:cs="Calibri"/>
          <w:szCs w:val="22"/>
        </w:rPr>
        <w:t xml:space="preserve"> </w:t>
      </w:r>
      <w:r w:rsidRPr="009A597A" w:rsidR="004B2787">
        <w:rPr>
          <w:rFonts w:ascii="Calibri" w:hAnsi="Calibri" w:eastAsia="Verdana" w:cs="Calibri"/>
          <w:szCs w:val="22"/>
        </w:rPr>
        <w:t>Dit is in lijn met de kabinetsinzet.</w:t>
      </w:r>
      <w:r w:rsidRPr="009A597A">
        <w:rPr>
          <w:rFonts w:ascii="Calibri" w:hAnsi="Calibri" w:eastAsia="Verdana" w:cs="Calibri"/>
          <w:szCs w:val="22"/>
        </w:rPr>
        <w:t xml:space="preserve"> </w:t>
      </w:r>
    </w:p>
    <w:p w:rsidRPr="009A597A" w:rsidR="3658664E" w:rsidP="009A597A" w:rsidRDefault="3658664E" w14:paraId="07553C13" w14:textId="77777777">
      <w:pPr>
        <w:spacing w:after="160" w:line="240" w:lineRule="auto"/>
        <w:rPr>
          <w:rFonts w:ascii="Calibri" w:hAnsi="Calibri" w:cs="Calibri"/>
          <w:szCs w:val="22"/>
        </w:rPr>
      </w:pPr>
    </w:p>
    <w:p w:rsidRPr="009A597A" w:rsidR="0080009C" w:rsidP="009A597A" w:rsidRDefault="3BA4E26F" w14:paraId="7211EA00" w14:textId="4772AD90">
      <w:pPr>
        <w:spacing w:after="160" w:line="240" w:lineRule="auto"/>
        <w:rPr>
          <w:rFonts w:ascii="Calibri" w:hAnsi="Calibri" w:cs="Calibri"/>
          <w:szCs w:val="22"/>
        </w:rPr>
      </w:pPr>
      <w:r w:rsidRPr="009A597A">
        <w:rPr>
          <w:rFonts w:ascii="Calibri" w:hAnsi="Calibri" w:eastAsia="Verdana" w:cs="Calibri"/>
          <w:szCs w:val="22"/>
        </w:rPr>
        <w:t xml:space="preserve">Daarnaast bevordert het programma de ontwikkeling van een gezamenlijke Europese rechtscultuur en hoogwaardige opleidingen in de rechterlijke macht, onder andere via het EJTN, wat de onafhankelijkheid en kwaliteit van het rechtssysteem versterkt. </w:t>
      </w:r>
      <w:r w:rsidRPr="009A597A" w:rsidR="0080009C">
        <w:rPr>
          <w:rFonts w:ascii="Calibri" w:hAnsi="Calibri" w:eastAsia="Verdana" w:cs="Calibri"/>
          <w:szCs w:val="22"/>
        </w:rPr>
        <w:t xml:space="preserve">Het kabinet </w:t>
      </w:r>
      <w:r w:rsidRPr="009A597A">
        <w:rPr>
          <w:rFonts w:ascii="Calibri" w:hAnsi="Calibri" w:eastAsia="Verdana" w:cs="Calibri"/>
          <w:szCs w:val="22"/>
        </w:rPr>
        <w:t>ziet daarbij graag dat de beschikbare middelen niet alleen worden ingezet voor de training van rechters</w:t>
      </w:r>
      <w:r w:rsidRPr="009A597A" w:rsidR="00BC7A92">
        <w:rPr>
          <w:rFonts w:ascii="Calibri" w:hAnsi="Calibri" w:eastAsia="Verdana" w:cs="Calibri"/>
          <w:szCs w:val="22"/>
        </w:rPr>
        <w:t xml:space="preserve"> en officieren</w:t>
      </w:r>
      <w:r w:rsidRPr="009A597A">
        <w:rPr>
          <w:rFonts w:ascii="Calibri" w:hAnsi="Calibri" w:eastAsia="Verdana" w:cs="Calibri"/>
          <w:szCs w:val="22"/>
        </w:rPr>
        <w:t xml:space="preserve">, maar ook voor het bredere juridische personeel werkzaam bij de </w:t>
      </w:r>
      <w:r w:rsidRPr="009A597A" w:rsidR="00BC7A92">
        <w:rPr>
          <w:rFonts w:ascii="Calibri" w:hAnsi="Calibri" w:eastAsia="Verdana" w:cs="Calibri"/>
          <w:szCs w:val="22"/>
        </w:rPr>
        <w:t>rechtspraak en het Openbaar Ministerie.</w:t>
      </w:r>
      <w:r w:rsidRPr="009A597A" w:rsidR="0080009C">
        <w:rPr>
          <w:rFonts w:ascii="Calibri" w:hAnsi="Calibri" w:eastAsia="Verdana" w:cs="Calibri"/>
          <w:szCs w:val="22"/>
        </w:rPr>
        <w:t xml:space="preserve"> </w:t>
      </w:r>
      <w:r w:rsidRPr="009A597A" w:rsidR="005E3A35">
        <w:rPr>
          <w:rFonts w:ascii="Calibri" w:hAnsi="Calibri" w:eastAsia="Verdana" w:cs="Calibri"/>
          <w:szCs w:val="22"/>
        </w:rPr>
        <w:t xml:space="preserve">Het kabinet zal zich ervoor inzetten dat training van al het juridisch personeel gewaarborgd wordt in dit voorstel. </w:t>
      </w:r>
      <w:r w:rsidRPr="009A597A" w:rsidR="0080009C">
        <w:rPr>
          <w:rFonts w:ascii="Calibri" w:hAnsi="Calibri" w:cs="Calibri"/>
          <w:szCs w:val="22"/>
        </w:rPr>
        <w:t xml:space="preserve">Het kabinet hecht daarnaast veel belang aan de uitwisseling van kennis en contacten tussen professionals in de justitieketen, inclusief de </w:t>
      </w:r>
      <w:r w:rsidRPr="009A597A" w:rsidR="00BC7A92">
        <w:rPr>
          <w:rFonts w:ascii="Calibri" w:hAnsi="Calibri" w:cs="Calibri"/>
          <w:szCs w:val="22"/>
        </w:rPr>
        <w:t xml:space="preserve">rechtspraak en het Openbaar Ministerie. </w:t>
      </w:r>
      <w:r w:rsidRPr="009A597A" w:rsidR="0080009C">
        <w:rPr>
          <w:rFonts w:ascii="Calibri" w:hAnsi="Calibri" w:cs="Calibri"/>
          <w:szCs w:val="22"/>
        </w:rPr>
        <w:t xml:space="preserve">Netwerken en praktijkgerichte bijeenkomsten versterken wederzijds vertrouwen en kunnen waardevolle input leveren voor nieuwe regelgeving, waardoor de uitvoerbaarheid en kwaliteit worden verbeterd. Dit sluit aan bij de kabinetsinzet voor betere regelgeving. </w:t>
      </w:r>
    </w:p>
    <w:p w:rsidRPr="009A597A" w:rsidR="009D27A2" w:rsidP="009A597A" w:rsidRDefault="009D27A2" w14:paraId="344B0786" w14:textId="77777777">
      <w:pPr>
        <w:spacing w:after="160" w:line="240" w:lineRule="auto"/>
        <w:rPr>
          <w:rFonts w:ascii="Calibri" w:hAnsi="Calibri" w:cs="Calibri"/>
          <w:iCs/>
          <w:szCs w:val="22"/>
        </w:rPr>
      </w:pPr>
    </w:p>
    <w:p w:rsidRPr="009A597A" w:rsidR="00D768F4" w:rsidP="009A597A" w:rsidRDefault="00D768F4" w14:paraId="3D6C6D88" w14:textId="5F7F54A8">
      <w:pPr>
        <w:spacing w:after="160" w:line="240" w:lineRule="auto"/>
        <w:rPr>
          <w:rFonts w:ascii="Calibri" w:hAnsi="Calibri" w:cs="Calibri"/>
          <w:szCs w:val="22"/>
        </w:rPr>
      </w:pPr>
      <w:r w:rsidRPr="009A597A">
        <w:rPr>
          <w:rFonts w:ascii="Calibri" w:hAnsi="Calibri" w:cs="Calibri"/>
          <w:iCs/>
          <w:szCs w:val="22"/>
        </w:rPr>
        <w:t xml:space="preserve">Het kabinet acht dit programma van groot belang voor de komende jaren (2025–2030) vanwege de uitrol van de </w:t>
      </w:r>
      <w:r w:rsidRPr="009A597A">
        <w:rPr>
          <w:rFonts w:ascii="Calibri" w:hAnsi="Calibri" w:cs="Calibri"/>
          <w:i/>
          <w:iCs/>
          <w:szCs w:val="22"/>
        </w:rPr>
        <w:t>e-Justice</w:t>
      </w:r>
      <w:r w:rsidRPr="009A597A">
        <w:rPr>
          <w:rFonts w:ascii="Calibri" w:hAnsi="Calibri" w:cs="Calibri"/>
          <w:szCs w:val="22"/>
        </w:rPr>
        <w:t xml:space="preserve"> verordening (EU) 2023/2844</w:t>
      </w:r>
      <w:r w:rsidRPr="009A597A">
        <w:rPr>
          <w:rFonts w:ascii="Calibri" w:hAnsi="Calibri" w:cs="Calibri"/>
          <w:iCs/>
          <w:szCs w:val="22"/>
        </w:rPr>
        <w:t>.</w:t>
      </w:r>
      <w:r w:rsidRPr="009A597A" w:rsidR="00273AB1">
        <w:rPr>
          <w:rStyle w:val="Voetnootmarkering"/>
          <w:rFonts w:ascii="Calibri" w:hAnsi="Calibri" w:cs="Calibri"/>
          <w:iCs/>
          <w:szCs w:val="22"/>
        </w:rPr>
        <w:footnoteReference w:id="4"/>
      </w:r>
      <w:r w:rsidRPr="009A597A">
        <w:rPr>
          <w:rFonts w:ascii="Calibri" w:hAnsi="Calibri" w:cs="Calibri"/>
          <w:iCs/>
          <w:szCs w:val="22"/>
        </w:rPr>
        <w:t xml:space="preserve"> Deze verordening wijzigt 24 bestaande Europese rechtsinstrumenten en maakt grensoverschrijdende civiele, handels- en strafzaken aanzienlijk eenvoudiger en toegankelijker. </w:t>
      </w:r>
      <w:r w:rsidRPr="009A597A">
        <w:rPr>
          <w:rFonts w:ascii="Calibri" w:hAnsi="Calibri" w:cs="Calibri"/>
          <w:szCs w:val="22"/>
        </w:rPr>
        <w:t xml:space="preserve">Voor </w:t>
      </w:r>
      <w:r w:rsidRPr="009A597A" w:rsidR="00F24303">
        <w:rPr>
          <w:rFonts w:ascii="Calibri" w:hAnsi="Calibri" w:cs="Calibri"/>
          <w:szCs w:val="22"/>
        </w:rPr>
        <w:t>het kabinet</w:t>
      </w:r>
      <w:r w:rsidRPr="009A597A">
        <w:rPr>
          <w:rFonts w:ascii="Calibri" w:hAnsi="Calibri" w:cs="Calibri"/>
          <w:szCs w:val="22"/>
        </w:rPr>
        <w:t xml:space="preserve"> is het verder van belang dat de digitalisering van rechtssystemen en grensoverschrijdende interoperabiliteit van digitale systemen binnen de EU actief worden ondersteund. Dit draagt bij aan de efficiëntie van rechtspleging, betere toegang tot het recht en de uitvoering van EU-wetgeving in de lidstaten. </w:t>
      </w:r>
      <w:r w:rsidRPr="009A597A" w:rsidR="00B54C69">
        <w:rPr>
          <w:rFonts w:ascii="Calibri" w:hAnsi="Calibri" w:cs="Calibri"/>
          <w:szCs w:val="22"/>
        </w:rPr>
        <w:t xml:space="preserve">Het </w:t>
      </w:r>
      <w:r w:rsidRPr="009A597A" w:rsidR="0064793B">
        <w:rPr>
          <w:rFonts w:ascii="Calibri" w:hAnsi="Calibri" w:cs="Calibri"/>
          <w:szCs w:val="22"/>
        </w:rPr>
        <w:t xml:space="preserve">kabinet zet zich om te zorgen dat </w:t>
      </w:r>
      <w:r w:rsidRPr="009A597A" w:rsidR="006E4B4C">
        <w:rPr>
          <w:rFonts w:ascii="Calibri" w:hAnsi="Calibri" w:cs="Calibri"/>
          <w:szCs w:val="22"/>
        </w:rPr>
        <w:t xml:space="preserve">er binnen het justitieprogramma </w:t>
      </w:r>
      <w:r w:rsidRPr="009A597A" w:rsidR="0064793B">
        <w:rPr>
          <w:rFonts w:ascii="Calibri" w:hAnsi="Calibri" w:cs="Calibri"/>
          <w:szCs w:val="22"/>
        </w:rPr>
        <w:t xml:space="preserve">voldoende middelen beschikbaar </w:t>
      </w:r>
      <w:r w:rsidRPr="009A597A" w:rsidR="006E4B4C">
        <w:rPr>
          <w:rFonts w:ascii="Calibri" w:hAnsi="Calibri" w:cs="Calibri"/>
          <w:szCs w:val="22"/>
        </w:rPr>
        <w:t xml:space="preserve">worden gemaakt </w:t>
      </w:r>
      <w:r w:rsidRPr="009A597A" w:rsidR="0064793B">
        <w:rPr>
          <w:rFonts w:ascii="Calibri" w:hAnsi="Calibri" w:cs="Calibri"/>
          <w:szCs w:val="22"/>
        </w:rPr>
        <w:t xml:space="preserve">voor </w:t>
      </w:r>
      <w:r w:rsidRPr="009A597A" w:rsidR="00B54C69">
        <w:rPr>
          <w:rFonts w:ascii="Calibri" w:hAnsi="Calibri" w:cs="Calibri"/>
          <w:szCs w:val="22"/>
        </w:rPr>
        <w:t xml:space="preserve">de implementatie van </w:t>
      </w:r>
      <w:r w:rsidRPr="009A597A" w:rsidR="0064793B">
        <w:rPr>
          <w:rFonts w:ascii="Calibri" w:hAnsi="Calibri" w:cs="Calibri"/>
          <w:i/>
          <w:iCs/>
          <w:szCs w:val="22"/>
        </w:rPr>
        <w:t>e-Justice</w:t>
      </w:r>
      <w:r w:rsidRPr="009A597A" w:rsidR="00BC7A92">
        <w:rPr>
          <w:rFonts w:ascii="Calibri" w:hAnsi="Calibri" w:cs="Calibri"/>
          <w:szCs w:val="22"/>
        </w:rPr>
        <w:t xml:space="preserve"> waaronder voor trainingen van personeel.</w:t>
      </w:r>
      <w:r w:rsidRPr="009A597A" w:rsidR="0064793B">
        <w:rPr>
          <w:rFonts w:ascii="Calibri" w:hAnsi="Calibri" w:cs="Calibri"/>
          <w:szCs w:val="22"/>
        </w:rPr>
        <w:t xml:space="preserve"> </w:t>
      </w:r>
      <w:r w:rsidRPr="009A597A">
        <w:rPr>
          <w:rFonts w:ascii="Calibri" w:hAnsi="Calibri" w:cs="Calibri"/>
          <w:szCs w:val="22"/>
        </w:rPr>
        <w:t xml:space="preserve">Nederland ziet </w:t>
      </w:r>
      <w:r w:rsidRPr="009A597A" w:rsidDel="0064793B">
        <w:rPr>
          <w:rFonts w:ascii="Calibri" w:hAnsi="Calibri" w:cs="Calibri"/>
          <w:szCs w:val="22"/>
        </w:rPr>
        <w:t>hier</w:t>
      </w:r>
      <w:r w:rsidRPr="009A597A">
        <w:rPr>
          <w:rFonts w:ascii="Calibri" w:hAnsi="Calibri" w:cs="Calibri"/>
          <w:szCs w:val="22"/>
        </w:rPr>
        <w:t xml:space="preserve"> tevens </w:t>
      </w:r>
      <w:r w:rsidRPr="009A597A" w:rsidR="0064793B">
        <w:rPr>
          <w:rFonts w:ascii="Calibri" w:hAnsi="Calibri" w:cs="Calibri"/>
          <w:szCs w:val="22"/>
        </w:rPr>
        <w:t>op het gebed van digitalisering van de justitieketen</w:t>
      </w:r>
      <w:r w:rsidRPr="009A597A">
        <w:rPr>
          <w:rFonts w:ascii="Calibri" w:hAnsi="Calibri" w:cs="Calibri"/>
          <w:szCs w:val="22"/>
        </w:rPr>
        <w:t xml:space="preserve"> een duidelijke link met bredere EU-prioriteiten op het gebied van de digitale transitie en AI.</w:t>
      </w:r>
      <w:r w:rsidRPr="009A597A" w:rsidR="0064793B">
        <w:rPr>
          <w:rFonts w:ascii="Calibri" w:hAnsi="Calibri" w:cs="Calibri"/>
          <w:szCs w:val="22"/>
        </w:rPr>
        <w:t xml:space="preserve"> </w:t>
      </w:r>
    </w:p>
    <w:p w:rsidRPr="009A597A" w:rsidR="00D768F4" w:rsidP="009A597A" w:rsidRDefault="00D768F4" w14:paraId="03B2C9AF" w14:textId="77777777">
      <w:pPr>
        <w:spacing w:after="160" w:line="240" w:lineRule="auto"/>
        <w:rPr>
          <w:rFonts w:ascii="Calibri" w:hAnsi="Calibri" w:cs="Calibri"/>
          <w:szCs w:val="22"/>
        </w:rPr>
      </w:pPr>
    </w:p>
    <w:p w:rsidRPr="009A597A" w:rsidR="50DBB6E7" w:rsidP="009A597A" w:rsidRDefault="3DAF3A14" w14:paraId="7CEFF8CA" w14:textId="77777777">
      <w:pPr>
        <w:spacing w:after="160" w:line="240" w:lineRule="auto"/>
        <w:rPr>
          <w:rFonts w:ascii="Calibri" w:hAnsi="Calibri" w:eastAsia="Verdana" w:cs="Calibri"/>
          <w:szCs w:val="22"/>
        </w:rPr>
      </w:pPr>
      <w:r w:rsidRPr="009A597A">
        <w:rPr>
          <w:rFonts w:ascii="Calibri" w:hAnsi="Calibri" w:cs="Calibri"/>
          <w:szCs w:val="22"/>
        </w:rPr>
        <w:t>Het kabinet</w:t>
      </w:r>
      <w:r w:rsidRPr="009A597A" w:rsidR="29E9C938">
        <w:rPr>
          <w:rFonts w:ascii="Calibri" w:hAnsi="Calibri" w:cs="Calibri"/>
          <w:szCs w:val="22"/>
        </w:rPr>
        <w:t xml:space="preserve"> onderschrijft </w:t>
      </w:r>
      <w:r w:rsidRPr="009A597A" w:rsidR="2DEDE64F">
        <w:rPr>
          <w:rFonts w:ascii="Calibri" w:hAnsi="Calibri" w:cs="Calibri"/>
          <w:szCs w:val="22"/>
        </w:rPr>
        <w:t xml:space="preserve">volledig </w:t>
      </w:r>
      <w:r w:rsidRPr="009A597A" w:rsidR="29E9C938">
        <w:rPr>
          <w:rFonts w:ascii="Calibri" w:hAnsi="Calibri" w:cs="Calibri"/>
          <w:szCs w:val="22"/>
        </w:rPr>
        <w:t>de do</w:t>
      </w:r>
      <w:r w:rsidRPr="009A597A" w:rsidR="74000523">
        <w:rPr>
          <w:rFonts w:ascii="Calibri" w:hAnsi="Calibri" w:cs="Calibri"/>
          <w:szCs w:val="22"/>
        </w:rPr>
        <w:t xml:space="preserve">elstelling </w:t>
      </w:r>
      <w:r w:rsidRPr="009A597A" w:rsidR="4587FC3A">
        <w:rPr>
          <w:rFonts w:ascii="Calibri" w:hAnsi="Calibri" w:cs="Calibri"/>
          <w:szCs w:val="22"/>
        </w:rPr>
        <w:t xml:space="preserve">van het programma </w:t>
      </w:r>
      <w:r w:rsidRPr="009A597A" w:rsidR="74000523">
        <w:rPr>
          <w:rFonts w:ascii="Calibri" w:hAnsi="Calibri" w:cs="Calibri"/>
          <w:szCs w:val="22"/>
        </w:rPr>
        <w:t xml:space="preserve">om toegang tot het recht voor iedereen te vergemakkelijken en ondersteunen. </w:t>
      </w:r>
      <w:r w:rsidRPr="009A597A">
        <w:rPr>
          <w:rFonts w:ascii="Calibri" w:hAnsi="Calibri" w:eastAsia="Verdana" w:cs="Calibri"/>
          <w:szCs w:val="22"/>
        </w:rPr>
        <w:t xml:space="preserve">Toegang tot het recht, waaronder toegang tot de rechter, is een belangrijke voorwaarde voor een goed functionerende rechtsstaat. Een goede toegang tot het recht stelt burgers, zzp’ers, bedrijven en organisaties in staat om hun rechten te verwezenlijken en een oplossing te vinden voor een (juridisch) probleem. Door de toegang tot het recht te waarborgen en versterken wordt </w:t>
      </w:r>
      <w:r w:rsidRPr="009A597A" w:rsidR="713DBD69">
        <w:rPr>
          <w:rFonts w:ascii="Calibri" w:hAnsi="Calibri" w:eastAsia="Verdana" w:cs="Calibri"/>
          <w:szCs w:val="22"/>
        </w:rPr>
        <w:t xml:space="preserve">niet alleen </w:t>
      </w:r>
      <w:r w:rsidRPr="009A597A">
        <w:rPr>
          <w:rFonts w:ascii="Calibri" w:hAnsi="Calibri" w:eastAsia="Verdana" w:cs="Calibri"/>
          <w:szCs w:val="22"/>
        </w:rPr>
        <w:t>het rechtssysteem versterkt</w:t>
      </w:r>
      <w:r w:rsidRPr="009A597A" w:rsidR="713DBD69">
        <w:rPr>
          <w:rFonts w:ascii="Calibri" w:hAnsi="Calibri" w:eastAsia="Verdana" w:cs="Calibri"/>
          <w:szCs w:val="22"/>
        </w:rPr>
        <w:t xml:space="preserve">, maar </w:t>
      </w:r>
      <w:r w:rsidRPr="009A597A" w:rsidR="00F24303">
        <w:rPr>
          <w:rFonts w:ascii="Calibri" w:hAnsi="Calibri" w:eastAsia="Verdana" w:cs="Calibri"/>
          <w:szCs w:val="22"/>
        </w:rPr>
        <w:t xml:space="preserve">wordt </w:t>
      </w:r>
      <w:r w:rsidRPr="009A597A" w:rsidR="713DBD69">
        <w:rPr>
          <w:rFonts w:ascii="Calibri" w:hAnsi="Calibri" w:eastAsia="Verdana" w:cs="Calibri"/>
          <w:szCs w:val="22"/>
        </w:rPr>
        <w:t xml:space="preserve">ook </w:t>
      </w:r>
      <w:r w:rsidRPr="009A597A" w:rsidR="00F24303">
        <w:rPr>
          <w:rFonts w:ascii="Calibri" w:hAnsi="Calibri" w:eastAsia="Verdana" w:cs="Calibri"/>
          <w:szCs w:val="22"/>
        </w:rPr>
        <w:t xml:space="preserve">het goed functioneren van </w:t>
      </w:r>
      <w:r w:rsidRPr="009A597A" w:rsidR="713DBD69">
        <w:rPr>
          <w:rFonts w:ascii="Calibri" w:hAnsi="Calibri" w:eastAsia="Verdana" w:cs="Calibri"/>
          <w:szCs w:val="22"/>
        </w:rPr>
        <w:t>de interne mark</w:t>
      </w:r>
      <w:r w:rsidRPr="009A597A" w:rsidR="00F24303">
        <w:rPr>
          <w:rFonts w:ascii="Calibri" w:hAnsi="Calibri" w:eastAsia="Verdana" w:cs="Calibri"/>
          <w:szCs w:val="22"/>
        </w:rPr>
        <w:t>t geborgd</w:t>
      </w:r>
      <w:r w:rsidRPr="009A597A">
        <w:rPr>
          <w:rFonts w:ascii="Calibri" w:hAnsi="Calibri" w:eastAsia="Verdana" w:cs="Calibri"/>
          <w:szCs w:val="22"/>
        </w:rPr>
        <w:t>. Dit kan ook bijdragen aan het vertrouwen van burgers in de overheid.</w:t>
      </w:r>
      <w:r w:rsidRPr="009A597A" w:rsidR="560BE595">
        <w:rPr>
          <w:rFonts w:ascii="Calibri" w:hAnsi="Calibri" w:eastAsia="Verdana" w:cs="Calibri"/>
          <w:szCs w:val="22"/>
        </w:rPr>
        <w:t xml:space="preserve"> Voor het kabinet is van belang dat bij de a</w:t>
      </w:r>
      <w:r w:rsidRPr="009A597A" w:rsidR="12AF345A">
        <w:rPr>
          <w:rFonts w:ascii="Calibri" w:hAnsi="Calibri" w:eastAsia="Verdana" w:cs="Calibri"/>
          <w:szCs w:val="22"/>
        </w:rPr>
        <w:t>ctiviteiten die onder deze doelstelling worden ontplooid de rechtszoekende steeds het uitgangspunt i</w:t>
      </w:r>
      <w:r w:rsidRPr="009A597A" w:rsidR="340D4FFC">
        <w:rPr>
          <w:rFonts w:ascii="Calibri" w:hAnsi="Calibri" w:eastAsia="Verdana" w:cs="Calibri"/>
          <w:szCs w:val="22"/>
        </w:rPr>
        <w:t>s, wat onder andere ook betekent dat organisaties en instellingen die e</w:t>
      </w:r>
      <w:r w:rsidRPr="009A597A" w:rsidR="50DBB6E7">
        <w:rPr>
          <w:rFonts w:ascii="Calibri" w:hAnsi="Calibri" w:eastAsia="Verdana" w:cs="Calibri"/>
          <w:szCs w:val="22"/>
        </w:rPr>
        <w:t xml:space="preserve">en rol hebben in het rechtsbestel </w:t>
      </w:r>
      <w:r w:rsidRPr="009A597A" w:rsidR="74BAEC92">
        <w:rPr>
          <w:rFonts w:ascii="Calibri" w:hAnsi="Calibri" w:eastAsia="Verdana" w:cs="Calibri"/>
          <w:szCs w:val="22"/>
        </w:rPr>
        <w:t>moeten samenwerk</w:t>
      </w:r>
      <w:r w:rsidRPr="009A597A" w:rsidR="50DBB6E7">
        <w:rPr>
          <w:rFonts w:ascii="Calibri" w:hAnsi="Calibri" w:eastAsia="Verdana" w:cs="Calibri"/>
          <w:szCs w:val="22"/>
        </w:rPr>
        <w:t xml:space="preserve">en om rechtzoekenden </w:t>
      </w:r>
      <w:r w:rsidRPr="009A597A" w:rsidR="4DE67D5E">
        <w:rPr>
          <w:rFonts w:ascii="Calibri" w:hAnsi="Calibri" w:eastAsia="Verdana" w:cs="Calibri"/>
          <w:szCs w:val="22"/>
        </w:rPr>
        <w:t xml:space="preserve">echt </w:t>
      </w:r>
      <w:r w:rsidRPr="009A597A" w:rsidR="50DBB6E7">
        <w:rPr>
          <w:rFonts w:ascii="Calibri" w:hAnsi="Calibri" w:eastAsia="Verdana" w:cs="Calibri"/>
          <w:szCs w:val="22"/>
        </w:rPr>
        <w:t>verder te helpen.</w:t>
      </w:r>
    </w:p>
    <w:p w:rsidRPr="009A597A" w:rsidR="22E1B247" w:rsidP="009A597A" w:rsidRDefault="22E1B247" w14:paraId="1D2862C2" w14:textId="77777777">
      <w:pPr>
        <w:spacing w:after="160" w:line="240" w:lineRule="auto"/>
        <w:rPr>
          <w:rFonts w:ascii="Calibri" w:hAnsi="Calibri" w:eastAsia="Verdana" w:cs="Calibri"/>
          <w:szCs w:val="22"/>
        </w:rPr>
      </w:pPr>
    </w:p>
    <w:p w:rsidRPr="009A597A" w:rsidR="00C21E03" w:rsidP="009A597A" w:rsidRDefault="00C21E03" w14:paraId="117C7652" w14:textId="52764CAE">
      <w:pPr>
        <w:spacing w:after="160" w:line="240" w:lineRule="auto"/>
        <w:rPr>
          <w:rFonts w:ascii="Calibri" w:hAnsi="Calibri" w:eastAsia="Verdana" w:cs="Calibri"/>
          <w:szCs w:val="22"/>
        </w:rPr>
      </w:pPr>
      <w:r w:rsidRPr="009A597A">
        <w:rPr>
          <w:rFonts w:ascii="Calibri" w:hAnsi="Calibri" w:eastAsia="Verdana" w:cs="Calibri"/>
          <w:szCs w:val="22"/>
        </w:rPr>
        <w:lastRenderedPageBreak/>
        <w:t xml:space="preserve">Het kabinet acht het wenselijk dat binnen de middelen voor het justitieprogramma ook middelen beschikbaar zijn voor kennisdeling over rechtstatelijke thema’s tussen lidstaten, specifiek om informatie uit te wisselen en aanbevelingen op te pakken die volgen uit de jaarlijkse rechtsstaatrapporten. Voorts ziet het kabinet het justitieprogramma als een belangrijk instrument voor lidstaten om maatregelen te nemen waarmee zij tegemoet kunnen komen aan de aanbevelingen uit onder andere het nationale rechtsstaatrapport en </w:t>
      </w:r>
      <w:r w:rsidRPr="009A597A" w:rsidR="00C357A3">
        <w:rPr>
          <w:rFonts w:ascii="Calibri" w:hAnsi="Calibri" w:eastAsia="Verdana" w:cs="Calibri"/>
          <w:szCs w:val="22"/>
        </w:rPr>
        <w:t>de twee horizontale principes waaraan lidstaten moeten voldoen gedurende de implementatie van de nationale en regionale partnerschapsprogramma’s.</w:t>
      </w:r>
      <w:r w:rsidRPr="009A597A" w:rsidR="00FE2CBA">
        <w:rPr>
          <w:rFonts w:ascii="Calibri" w:hAnsi="Calibri" w:eastAsia="Verdana" w:cs="Calibri"/>
          <w:szCs w:val="22"/>
        </w:rPr>
        <w:t xml:space="preserve"> e</w:t>
      </w:r>
      <w:r w:rsidRPr="009A597A">
        <w:rPr>
          <w:rFonts w:ascii="Calibri" w:hAnsi="Calibri" w:eastAsia="Verdana" w:cs="Calibri"/>
          <w:szCs w:val="22"/>
        </w:rPr>
        <w:t>. Het kabinet acht het van belang dat lidstaten worden gestimuleerd en gesteund om hun rechtsstaat te verbeteren, met consequenties als dit niet gebeurt, aangezien een goed werkende rechtsstaat en een goed functionerend justitieel systeem in alle lidstaten ook in het belang is van Nederlandse burgers en bedrijven.</w:t>
      </w:r>
    </w:p>
    <w:p w:rsidRPr="009A597A" w:rsidR="00DC1C62" w:rsidP="009A597A" w:rsidRDefault="00DC1C62" w14:paraId="53682127" w14:textId="77777777">
      <w:pPr>
        <w:spacing w:after="160" w:line="240" w:lineRule="auto"/>
        <w:rPr>
          <w:rFonts w:ascii="Calibri" w:hAnsi="Calibri" w:eastAsia="Verdana" w:cs="Calibri"/>
          <w:szCs w:val="22"/>
        </w:rPr>
      </w:pPr>
    </w:p>
    <w:p w:rsidRPr="009A597A" w:rsidR="00AC44EC" w:rsidP="009A597A" w:rsidRDefault="00845645" w14:paraId="31616C3E" w14:textId="18D0B021">
      <w:pPr>
        <w:tabs>
          <w:tab w:val="left" w:pos="360"/>
        </w:tabs>
        <w:spacing w:after="160" w:line="240" w:lineRule="auto"/>
        <w:rPr>
          <w:rFonts w:ascii="Calibri" w:hAnsi="Calibri" w:cs="Calibri"/>
          <w:szCs w:val="22"/>
        </w:rPr>
      </w:pPr>
      <w:r w:rsidRPr="009A597A">
        <w:rPr>
          <w:rFonts w:ascii="Calibri" w:hAnsi="Calibri" w:cs="Calibri"/>
          <w:szCs w:val="22"/>
        </w:rPr>
        <w:t xml:space="preserve">Ten slotte </w:t>
      </w:r>
      <w:r w:rsidRPr="009A597A" w:rsidR="00180110">
        <w:rPr>
          <w:rFonts w:ascii="Calibri" w:hAnsi="Calibri" w:cs="Calibri"/>
          <w:szCs w:val="22"/>
        </w:rPr>
        <w:t xml:space="preserve">vindt </w:t>
      </w:r>
      <w:r w:rsidRPr="009A597A" w:rsidR="00B41B53">
        <w:rPr>
          <w:rFonts w:ascii="Calibri" w:hAnsi="Calibri" w:cs="Calibri"/>
          <w:szCs w:val="22"/>
        </w:rPr>
        <w:t xml:space="preserve">het kabinet </w:t>
      </w:r>
      <w:r w:rsidRPr="009A597A">
        <w:rPr>
          <w:rFonts w:ascii="Calibri" w:hAnsi="Calibri" w:cs="Calibri"/>
          <w:szCs w:val="22"/>
        </w:rPr>
        <w:t>het</w:t>
      </w:r>
      <w:r w:rsidRPr="009A597A" w:rsidR="00B41B53">
        <w:rPr>
          <w:rFonts w:ascii="Calibri" w:hAnsi="Calibri" w:cs="Calibri"/>
          <w:szCs w:val="22"/>
        </w:rPr>
        <w:t xml:space="preserve"> positief </w:t>
      </w:r>
      <w:r w:rsidRPr="009A597A" w:rsidR="00180110">
        <w:rPr>
          <w:rFonts w:ascii="Calibri" w:hAnsi="Calibri" w:cs="Calibri"/>
          <w:szCs w:val="22"/>
        </w:rPr>
        <w:t xml:space="preserve">dat </w:t>
      </w:r>
      <w:r w:rsidRPr="009A597A">
        <w:rPr>
          <w:rFonts w:ascii="Calibri" w:hAnsi="Calibri" w:cs="Calibri"/>
          <w:szCs w:val="22"/>
        </w:rPr>
        <w:t xml:space="preserve">het programma </w:t>
      </w:r>
      <w:r w:rsidRPr="009A597A" w:rsidR="00B41B53">
        <w:rPr>
          <w:rFonts w:ascii="Calibri" w:hAnsi="Calibri" w:cs="Calibri"/>
          <w:szCs w:val="22"/>
        </w:rPr>
        <w:t xml:space="preserve">ook ingezet kan worden voor de </w:t>
      </w:r>
      <w:r w:rsidRPr="009A597A" w:rsidR="00180110">
        <w:rPr>
          <w:rFonts w:ascii="Calibri" w:hAnsi="Calibri" w:cs="Calibri"/>
          <w:szCs w:val="22"/>
        </w:rPr>
        <w:t>ondersteuning</w:t>
      </w:r>
      <w:r w:rsidRPr="009A597A">
        <w:rPr>
          <w:rFonts w:ascii="Calibri" w:hAnsi="Calibri" w:cs="Calibri"/>
          <w:szCs w:val="22"/>
        </w:rPr>
        <w:t xml:space="preserve"> </w:t>
      </w:r>
      <w:r w:rsidRPr="009A597A" w:rsidR="00C21E03">
        <w:rPr>
          <w:rFonts w:ascii="Calibri" w:hAnsi="Calibri" w:cs="Calibri"/>
          <w:szCs w:val="22"/>
        </w:rPr>
        <w:t>van justitiële hervormingen</w:t>
      </w:r>
      <w:r w:rsidRPr="009A597A">
        <w:rPr>
          <w:rFonts w:ascii="Calibri" w:hAnsi="Calibri" w:cs="Calibri"/>
          <w:szCs w:val="22"/>
        </w:rPr>
        <w:t xml:space="preserve"> </w:t>
      </w:r>
      <w:r w:rsidRPr="009A597A" w:rsidR="00C21E03">
        <w:rPr>
          <w:rFonts w:ascii="Calibri" w:hAnsi="Calibri" w:cs="Calibri"/>
          <w:szCs w:val="22"/>
        </w:rPr>
        <w:t xml:space="preserve">in </w:t>
      </w:r>
      <w:r w:rsidRPr="009A597A">
        <w:rPr>
          <w:rFonts w:ascii="Calibri" w:hAnsi="Calibri" w:cs="Calibri"/>
          <w:szCs w:val="22"/>
        </w:rPr>
        <w:t>kandidaat-lidstaten</w:t>
      </w:r>
      <w:r w:rsidRPr="009A597A" w:rsidR="006D5C74">
        <w:rPr>
          <w:rFonts w:ascii="Calibri" w:hAnsi="Calibri" w:cs="Calibri"/>
          <w:szCs w:val="22"/>
        </w:rPr>
        <w:t xml:space="preserve"> en derde</w:t>
      </w:r>
      <w:r w:rsidRPr="009A597A" w:rsidR="00326709">
        <w:rPr>
          <w:rFonts w:ascii="Calibri" w:hAnsi="Calibri" w:cs="Calibri"/>
          <w:szCs w:val="22"/>
        </w:rPr>
        <w:t xml:space="preserve"> </w:t>
      </w:r>
      <w:r w:rsidRPr="009A597A" w:rsidR="006D5C74">
        <w:rPr>
          <w:rFonts w:ascii="Calibri" w:hAnsi="Calibri" w:cs="Calibri"/>
          <w:szCs w:val="22"/>
        </w:rPr>
        <w:t>landen</w:t>
      </w:r>
      <w:r w:rsidRPr="009A597A" w:rsidR="00326709">
        <w:rPr>
          <w:rFonts w:ascii="Calibri" w:hAnsi="Calibri" w:cs="Calibri"/>
          <w:szCs w:val="22"/>
        </w:rPr>
        <w:t>.</w:t>
      </w:r>
      <w:r w:rsidRPr="009A597A">
        <w:rPr>
          <w:rFonts w:ascii="Calibri" w:hAnsi="Calibri" w:cs="Calibri"/>
          <w:szCs w:val="22"/>
        </w:rPr>
        <w:t xml:space="preserve"> </w:t>
      </w:r>
      <w:r w:rsidRPr="009A597A" w:rsidR="00BC7A92">
        <w:rPr>
          <w:rFonts w:ascii="Calibri" w:hAnsi="Calibri" w:cs="Calibri"/>
          <w:szCs w:val="22"/>
        </w:rPr>
        <w:t>Ten aanzien van (potentiële</w:t>
      </w:r>
      <w:r w:rsidRPr="009A597A" w:rsidR="00C244D3">
        <w:rPr>
          <w:rFonts w:ascii="Calibri" w:hAnsi="Calibri" w:cs="Calibri"/>
          <w:szCs w:val="22"/>
        </w:rPr>
        <w:t>) kandidaat-lidstaten benadrukt het kabinet, conform het Regeerprogramma</w:t>
      </w:r>
      <w:r w:rsidRPr="009A597A" w:rsidR="00C244D3">
        <w:rPr>
          <w:rStyle w:val="Voetnootmarkering"/>
          <w:rFonts w:ascii="Calibri" w:hAnsi="Calibri" w:cs="Calibri"/>
          <w:szCs w:val="22"/>
        </w:rPr>
        <w:footnoteReference w:id="5"/>
      </w:r>
      <w:r w:rsidRPr="009A597A" w:rsidR="00C244D3">
        <w:rPr>
          <w:rFonts w:ascii="Calibri" w:hAnsi="Calibri" w:cs="Calibri"/>
          <w:szCs w:val="22"/>
        </w:rPr>
        <w:t xml:space="preserve">, een kritische houding tegenover verdere uitbreiding van de EU en een strikte toepassing van de Kopenhagen-criteria. </w:t>
      </w:r>
      <w:r w:rsidRPr="009A597A">
        <w:rPr>
          <w:rFonts w:ascii="Calibri" w:hAnsi="Calibri" w:cs="Calibri"/>
          <w:szCs w:val="22"/>
        </w:rPr>
        <w:t>Het kabinet benadrukt da</w:t>
      </w:r>
      <w:r w:rsidRPr="009A597A" w:rsidR="00B41B53">
        <w:rPr>
          <w:rFonts w:ascii="Calibri" w:hAnsi="Calibri" w:cs="Calibri"/>
          <w:szCs w:val="22"/>
        </w:rPr>
        <w:t>arbij</w:t>
      </w:r>
      <w:r w:rsidRPr="009A597A">
        <w:rPr>
          <w:rFonts w:ascii="Calibri" w:hAnsi="Calibri" w:cs="Calibri"/>
          <w:szCs w:val="22"/>
        </w:rPr>
        <w:t xml:space="preserve"> dat een onafhankelijke en effectieve rechtspraak en eerlijke toegang tot het recht, een randvoorwaarde is voor EU-lidmaatschap en voor het </w:t>
      </w:r>
      <w:r w:rsidRPr="009A597A" w:rsidR="00C2223D">
        <w:rPr>
          <w:rFonts w:ascii="Calibri" w:hAnsi="Calibri" w:cs="Calibri"/>
          <w:szCs w:val="22"/>
        </w:rPr>
        <w:t xml:space="preserve">goed </w:t>
      </w:r>
      <w:r w:rsidRPr="009A597A">
        <w:rPr>
          <w:rFonts w:ascii="Calibri" w:hAnsi="Calibri" w:cs="Calibri"/>
          <w:szCs w:val="22"/>
        </w:rPr>
        <w:t>functioneren van de interne markt. Het Justitieprogramma kan een belangrijke rol spelen door kandidaat-lidstaten te ondersteunen bij hervormingen die gericht zijn op het</w:t>
      </w:r>
      <w:r w:rsidRPr="009A597A" w:rsidR="00C21E03">
        <w:rPr>
          <w:rFonts w:ascii="Calibri" w:hAnsi="Calibri" w:cs="Calibri"/>
          <w:szCs w:val="22"/>
        </w:rPr>
        <w:t xml:space="preserve"> vergroten van wederzijds vertrouwen</w:t>
      </w:r>
      <w:r w:rsidRPr="009A597A" w:rsidR="00BC7A92">
        <w:rPr>
          <w:rFonts w:ascii="Calibri" w:hAnsi="Calibri" w:cs="Calibri"/>
          <w:szCs w:val="22"/>
        </w:rPr>
        <w:t>.</w:t>
      </w:r>
      <w:r w:rsidRPr="009A597A" w:rsidR="00B41B53">
        <w:rPr>
          <w:rFonts w:ascii="Calibri" w:hAnsi="Calibri" w:cs="Calibri"/>
          <w:szCs w:val="22"/>
        </w:rPr>
        <w:t xml:space="preserve"> Het is van belang dat </w:t>
      </w:r>
      <w:r w:rsidRPr="009A597A" w:rsidR="001F7884">
        <w:rPr>
          <w:rFonts w:ascii="Calibri" w:hAnsi="Calibri" w:cs="Calibri"/>
          <w:szCs w:val="22"/>
        </w:rPr>
        <w:t xml:space="preserve">onderlinge samenhang </w:t>
      </w:r>
      <w:r w:rsidRPr="009A597A" w:rsidR="00B41B53">
        <w:rPr>
          <w:rFonts w:ascii="Calibri" w:hAnsi="Calibri" w:cs="Calibri"/>
          <w:szCs w:val="22"/>
        </w:rPr>
        <w:t xml:space="preserve">van </w:t>
      </w:r>
      <w:r w:rsidRPr="009A597A" w:rsidR="00B41B53">
        <w:rPr>
          <w:rFonts w:ascii="Calibri" w:hAnsi="Calibri" w:cs="Calibri"/>
          <w:i/>
          <w:iCs/>
          <w:szCs w:val="22"/>
        </w:rPr>
        <w:t>Global Europe</w:t>
      </w:r>
      <w:r w:rsidRPr="009A597A" w:rsidR="001F7884">
        <w:rPr>
          <w:rFonts w:ascii="Calibri" w:hAnsi="Calibri" w:cs="Calibri"/>
          <w:szCs w:val="22"/>
        </w:rPr>
        <w:t xml:space="preserve"> verder wordt uitgewerkt</w:t>
      </w:r>
      <w:r w:rsidRPr="009A597A" w:rsidR="00B41B53">
        <w:rPr>
          <w:rFonts w:ascii="Calibri" w:hAnsi="Calibri" w:cs="Calibri"/>
          <w:szCs w:val="22"/>
        </w:rPr>
        <w:t xml:space="preserve">. </w:t>
      </w:r>
      <w:r w:rsidRPr="009A597A" w:rsidR="0064793B">
        <w:rPr>
          <w:rFonts w:ascii="Calibri" w:hAnsi="Calibri" w:cs="Calibri"/>
          <w:szCs w:val="22"/>
        </w:rPr>
        <w:t xml:space="preserve">Het kabinet zal zich ervoor inzetten dat het voorstel wordt verduidelijkt ten aanzien van de samenhang met </w:t>
      </w:r>
      <w:r w:rsidRPr="009A597A" w:rsidR="0064793B">
        <w:rPr>
          <w:rFonts w:ascii="Calibri" w:hAnsi="Calibri" w:cs="Calibri"/>
          <w:i/>
          <w:iCs/>
          <w:szCs w:val="22"/>
        </w:rPr>
        <w:t>Global Europe</w:t>
      </w:r>
      <w:r w:rsidRPr="009A597A" w:rsidR="0064793B">
        <w:rPr>
          <w:rFonts w:ascii="Calibri" w:hAnsi="Calibri" w:cs="Calibri"/>
          <w:szCs w:val="22"/>
        </w:rPr>
        <w:t xml:space="preserve">. </w:t>
      </w:r>
    </w:p>
    <w:p w:rsidRPr="009A597A" w:rsidR="00845645" w:rsidP="009A597A" w:rsidRDefault="00845645" w14:paraId="0182501B" w14:textId="77777777">
      <w:pPr>
        <w:spacing w:after="160" w:line="240" w:lineRule="auto"/>
        <w:rPr>
          <w:rFonts w:ascii="Calibri" w:hAnsi="Calibri" w:cs="Calibri"/>
          <w:iCs/>
          <w:szCs w:val="22"/>
        </w:rPr>
      </w:pPr>
    </w:p>
    <w:p w:rsidRPr="009A597A" w:rsidR="00F74E07" w:rsidP="009A597A" w:rsidRDefault="0018227F" w14:paraId="7F47DD84" w14:textId="77777777">
      <w:pPr>
        <w:pStyle w:val="Lijstalinea"/>
        <w:numPr>
          <w:ilvl w:val="0"/>
          <w:numId w:val="5"/>
        </w:numPr>
        <w:spacing w:after="160" w:line="240" w:lineRule="auto"/>
        <w:rPr>
          <w:rFonts w:ascii="Calibri" w:hAnsi="Calibri" w:cs="Calibri"/>
          <w:i/>
          <w:szCs w:val="22"/>
        </w:rPr>
      </w:pPr>
      <w:r w:rsidRPr="009A597A">
        <w:rPr>
          <w:rFonts w:ascii="Calibri" w:hAnsi="Calibri" w:cs="Calibri"/>
          <w:i/>
          <w:szCs w:val="22"/>
        </w:rPr>
        <w:t>Eerste inschatting van k</w:t>
      </w:r>
      <w:r w:rsidRPr="009A597A" w:rsidR="00F74E07">
        <w:rPr>
          <w:rFonts w:ascii="Calibri" w:hAnsi="Calibri" w:cs="Calibri"/>
          <w:i/>
          <w:szCs w:val="22"/>
        </w:rPr>
        <w:t>rachtenveld</w:t>
      </w:r>
    </w:p>
    <w:p w:rsidRPr="009A597A" w:rsidR="00E539A8" w:rsidP="009A597A" w:rsidRDefault="00E13157" w14:paraId="030A1CA0" w14:textId="77777777">
      <w:pPr>
        <w:spacing w:after="160" w:line="240" w:lineRule="auto"/>
        <w:rPr>
          <w:rFonts w:ascii="Calibri" w:hAnsi="Calibri" w:eastAsia="Verdana" w:cs="Calibri"/>
          <w:color w:val="000000"/>
          <w:szCs w:val="22"/>
        </w:rPr>
      </w:pPr>
      <w:r w:rsidRPr="009A597A">
        <w:rPr>
          <w:rFonts w:ascii="Calibri" w:hAnsi="Calibri" w:eastAsia="Verdana" w:cs="Calibri"/>
          <w:color w:val="000000"/>
          <w:szCs w:val="22"/>
        </w:rPr>
        <w:t xml:space="preserve">De aanstaande onderhandelingen over het Justitieprogramma 2028–2034 moeten worden geplaatst in de bredere context van de onderhandelingen over het Meerjarig Financieel Kader 2028–2034. </w:t>
      </w:r>
      <w:r w:rsidRPr="009A597A" w:rsidR="00306043">
        <w:rPr>
          <w:rFonts w:ascii="Calibri" w:hAnsi="Calibri" w:eastAsia="Verdana" w:cs="Calibri"/>
          <w:color w:val="000000"/>
          <w:szCs w:val="22"/>
        </w:rPr>
        <w:t xml:space="preserve">Specifieke informatie over het krachtenveld ten aanzien van het Justitieprogramma is op dit moment nog niet bekend. </w:t>
      </w:r>
      <w:r w:rsidRPr="009A597A" w:rsidR="005C2ABB">
        <w:rPr>
          <w:rFonts w:ascii="Calibri" w:hAnsi="Calibri" w:eastAsia="Verdana" w:cs="Calibri"/>
          <w:color w:val="000000"/>
          <w:szCs w:val="22"/>
        </w:rPr>
        <w:t>De positie van het Europees Parlement is nog onbekend.</w:t>
      </w:r>
    </w:p>
    <w:p w:rsidRPr="009A597A" w:rsidR="00E13157" w:rsidP="009A597A" w:rsidRDefault="00E13157" w14:paraId="35F8D4F5" w14:textId="77777777">
      <w:pPr>
        <w:spacing w:after="160" w:line="240" w:lineRule="auto"/>
        <w:rPr>
          <w:rFonts w:ascii="Calibri" w:hAnsi="Calibri" w:cs="Calibri"/>
          <w:b/>
          <w:szCs w:val="22"/>
        </w:rPr>
      </w:pPr>
    </w:p>
    <w:p w:rsidRPr="009A597A" w:rsidR="00A15B58" w:rsidP="009A597A" w:rsidRDefault="3658664E" w14:paraId="260E82A4" w14:textId="77777777">
      <w:pPr>
        <w:numPr>
          <w:ilvl w:val="0"/>
          <w:numId w:val="3"/>
        </w:numPr>
        <w:spacing w:after="160" w:line="240" w:lineRule="auto"/>
        <w:rPr>
          <w:rFonts w:ascii="Calibri" w:hAnsi="Calibri" w:cs="Calibri"/>
          <w:i/>
          <w:szCs w:val="22"/>
        </w:rPr>
      </w:pPr>
      <w:r w:rsidRPr="009A597A">
        <w:rPr>
          <w:rFonts w:ascii="Calibri" w:hAnsi="Calibri" w:cs="Calibri"/>
          <w:b/>
          <w:bCs/>
          <w:szCs w:val="22"/>
        </w:rPr>
        <w:t xml:space="preserve">Beoordeling bevoegdheid, subsidiariteit en proportionaliteit </w:t>
      </w:r>
    </w:p>
    <w:p w:rsidRPr="009A597A" w:rsidR="00A15B58" w:rsidP="009A597A" w:rsidRDefault="00076EDE" w14:paraId="15B68A93" w14:textId="77777777">
      <w:pPr>
        <w:pStyle w:val="Spreekpunten"/>
        <w:numPr>
          <w:ilvl w:val="0"/>
          <w:numId w:val="7"/>
        </w:numPr>
        <w:spacing w:after="160" w:line="240" w:lineRule="auto"/>
        <w:rPr>
          <w:rFonts w:ascii="Calibri" w:hAnsi="Calibri" w:cs="Calibri"/>
          <w:i/>
          <w:sz w:val="22"/>
          <w:szCs w:val="22"/>
          <w:lang w:val="nl-NL" w:eastAsia="zh-CN"/>
        </w:rPr>
      </w:pPr>
      <w:r w:rsidRPr="009A597A">
        <w:rPr>
          <w:rFonts w:ascii="Calibri" w:hAnsi="Calibri" w:cs="Calibri"/>
          <w:i/>
          <w:iCs/>
          <w:sz w:val="22"/>
          <w:szCs w:val="22"/>
          <w:lang w:val="nl-NL" w:eastAsia="zh-CN"/>
        </w:rPr>
        <w:t>B</w:t>
      </w:r>
      <w:r w:rsidRPr="009A597A" w:rsidR="00A15B58">
        <w:rPr>
          <w:rFonts w:ascii="Calibri" w:hAnsi="Calibri" w:cs="Calibri"/>
          <w:i/>
          <w:iCs/>
          <w:sz w:val="22"/>
          <w:szCs w:val="22"/>
          <w:lang w:val="nl-NL" w:eastAsia="zh-CN"/>
        </w:rPr>
        <w:t>evoegdheid</w:t>
      </w:r>
    </w:p>
    <w:p w:rsidRPr="009A597A" w:rsidR="008B3653" w:rsidP="009A597A" w:rsidRDefault="008B3653" w14:paraId="16EED756" w14:textId="1F687E1D">
      <w:pPr>
        <w:spacing w:after="160" w:line="240" w:lineRule="auto"/>
        <w:rPr>
          <w:rFonts w:ascii="Calibri" w:hAnsi="Calibri" w:cs="Calibri"/>
          <w:szCs w:val="22"/>
          <w:lang w:eastAsia="nl-NL"/>
        </w:rPr>
      </w:pPr>
      <w:r w:rsidRPr="009A597A">
        <w:rPr>
          <w:rFonts w:ascii="Calibri" w:hAnsi="Calibri" w:cs="Calibri"/>
          <w:szCs w:val="22"/>
        </w:rPr>
        <w:t xml:space="preserve">Als onderdeel van de toets of de EU mag optreden conform de EU-verdragen toetst het kabinet of de EU handelt binnen de grenzen van de bevoegdheden die haar door de lidstaten in de EU-verdragen zijn toegedeeld om de daarin bepaalde doelstellingen te verwezenlijken. Het oordeel van het kabinet ten aanzien van de bevoegdheid is positief. Het voorstel is gebaseerd op artikel 81, eerste en tweede lid, en artikel 82, </w:t>
      </w:r>
      <w:r w:rsidRPr="009A597A">
        <w:rPr>
          <w:rFonts w:ascii="Calibri" w:hAnsi="Calibri" w:cs="Calibri"/>
          <w:szCs w:val="22"/>
          <w:lang w:eastAsia="nl-NL"/>
        </w:rPr>
        <w:t>eerste lid, van het Verdrag betreffende de werking van de Europese Unie (hierna: VWEU).</w:t>
      </w:r>
      <w:r w:rsidRPr="009A597A" w:rsidR="00C357A3">
        <w:rPr>
          <w:rFonts w:ascii="Calibri" w:hAnsi="Calibri" w:cs="Calibri"/>
          <w:szCs w:val="22"/>
          <w:lang w:eastAsia="nl-NL"/>
        </w:rPr>
        <w:t xml:space="preserve"> Artikel 81(1) VWEU biedt de basis voor de justitiële samenwerking in burgerlijke zaken met grensoverschrijdende gevolgen.</w:t>
      </w:r>
      <w:r w:rsidRPr="009A597A">
        <w:rPr>
          <w:rFonts w:ascii="Calibri" w:hAnsi="Calibri" w:cs="Calibri"/>
          <w:szCs w:val="22"/>
          <w:lang w:eastAsia="nl-NL"/>
        </w:rPr>
        <w:t xml:space="preserve"> Artikel 81(2) VWEU voorziet in de vaststelling van maatregelen gericht op </w:t>
      </w:r>
      <w:r w:rsidRPr="009A597A" w:rsidR="00B3078E">
        <w:rPr>
          <w:rFonts w:ascii="Calibri" w:hAnsi="Calibri" w:cs="Calibri"/>
          <w:szCs w:val="22"/>
          <w:lang w:eastAsia="nl-NL"/>
        </w:rPr>
        <w:t xml:space="preserve">onder andere </w:t>
      </w:r>
      <w:r w:rsidRPr="009A597A">
        <w:rPr>
          <w:rFonts w:ascii="Calibri" w:hAnsi="Calibri" w:cs="Calibri"/>
          <w:szCs w:val="22"/>
          <w:lang w:eastAsia="nl-NL"/>
        </w:rPr>
        <w:t xml:space="preserve">de wederzijdse erkenning en tenuitvoerlegging </w:t>
      </w:r>
      <w:r w:rsidRPr="009A597A">
        <w:rPr>
          <w:rFonts w:ascii="Calibri" w:hAnsi="Calibri" w:cs="Calibri"/>
          <w:szCs w:val="22"/>
          <w:lang w:eastAsia="nl-NL"/>
        </w:rPr>
        <w:lastRenderedPageBreak/>
        <w:t xml:space="preserve">van rechterlijke beslissingen, grensoverschrijdende betekening en kennisgeving van gerechtelijke en buitengerechtelijke documenten, toegang tot de rechter en ondersteuning van de opleiding van de rechterlijke macht. </w:t>
      </w:r>
      <w:r w:rsidRPr="009A597A" w:rsidR="00BC7A92">
        <w:rPr>
          <w:rFonts w:ascii="Calibri" w:hAnsi="Calibri" w:cs="Calibri"/>
          <w:szCs w:val="22"/>
          <w:lang w:eastAsia="nl-NL"/>
        </w:rPr>
        <w:t xml:space="preserve">Artikel 82(1) VWEU biedt de basis voor maatregelen ter bevordering van justitiële samenwerking in strafzaken. </w:t>
      </w:r>
      <w:r w:rsidRPr="009A597A">
        <w:rPr>
          <w:rFonts w:ascii="Calibri" w:hAnsi="Calibri" w:cs="Calibri"/>
          <w:szCs w:val="22"/>
          <w:lang w:eastAsia="nl-NL"/>
        </w:rPr>
        <w:t>Het kabinet kan zich vinden in deze rechtsgrondslagen, nu het voorstel ziet op het realiseren van het Justitieprogramma 2028-2034, gericht op het versterken van justitiële samenwerking, het bevorderen van opleidingen</w:t>
      </w:r>
      <w:r w:rsidRPr="009A597A" w:rsidR="00AF5A15">
        <w:rPr>
          <w:rFonts w:ascii="Calibri" w:hAnsi="Calibri" w:cs="Calibri"/>
          <w:szCs w:val="22"/>
          <w:lang w:eastAsia="nl-NL"/>
        </w:rPr>
        <w:t xml:space="preserve"> en een Europese rechtscultuur</w:t>
      </w:r>
      <w:r w:rsidRPr="009A597A">
        <w:rPr>
          <w:rFonts w:ascii="Calibri" w:hAnsi="Calibri" w:cs="Calibri"/>
          <w:szCs w:val="22"/>
          <w:lang w:eastAsia="nl-NL"/>
        </w:rPr>
        <w:t xml:space="preserve"> in de rechterlijke macht, en het verbeteren en digitaliseren van toegang tot het recht. Hiermee bieden de benoemde rechtsgrondslagen een adequate juridische basis voor de uitvoering van het programma en de verwezenlijking van de beleidsdoelen. Op het terrein van de ruimte van vrijheid, veiligheid en recht is er sprake van een gedeelde bevoegdheid tussen de EU en de lidstaten op grond van artikel 4, tweede lid, onder j, VWEU</w:t>
      </w:r>
      <w:r w:rsidRPr="009A597A" w:rsidR="00AF5A15">
        <w:rPr>
          <w:rFonts w:ascii="Calibri" w:hAnsi="Calibri" w:cs="Calibri"/>
          <w:szCs w:val="22"/>
          <w:lang w:eastAsia="nl-NL"/>
        </w:rPr>
        <w:t>.</w:t>
      </w:r>
    </w:p>
    <w:p w:rsidRPr="009A597A" w:rsidR="00A15B58" w:rsidP="009A597A" w:rsidRDefault="000B66F2" w14:paraId="63C7BEFA" w14:textId="77777777">
      <w:pPr>
        <w:tabs>
          <w:tab w:val="left" w:pos="360"/>
        </w:tabs>
        <w:spacing w:after="160" w:line="240" w:lineRule="auto"/>
        <w:rPr>
          <w:rFonts w:ascii="Calibri" w:hAnsi="Calibri" w:cs="Calibri"/>
          <w:i/>
          <w:szCs w:val="22"/>
        </w:rPr>
      </w:pPr>
      <w:r w:rsidRPr="009A597A">
        <w:rPr>
          <w:rFonts w:ascii="Calibri" w:hAnsi="Calibri" w:cs="Calibri"/>
          <w:szCs w:val="22"/>
        </w:rPr>
        <w:br/>
      </w:r>
      <w:r w:rsidRPr="009A597A" w:rsidR="00E13157">
        <w:rPr>
          <w:rFonts w:ascii="Calibri" w:hAnsi="Calibri" w:cs="Calibri"/>
          <w:i/>
          <w:iCs/>
          <w:szCs w:val="22"/>
        </w:rPr>
        <w:t xml:space="preserve">b) </w:t>
      </w:r>
      <w:r w:rsidRPr="009A597A" w:rsidR="00076EDE">
        <w:rPr>
          <w:rFonts w:ascii="Calibri" w:hAnsi="Calibri" w:cs="Calibri"/>
          <w:i/>
          <w:iCs/>
          <w:szCs w:val="22"/>
        </w:rPr>
        <w:t>S</w:t>
      </w:r>
      <w:r w:rsidRPr="009A597A" w:rsidR="00A15B58">
        <w:rPr>
          <w:rFonts w:ascii="Calibri" w:hAnsi="Calibri" w:cs="Calibri"/>
          <w:i/>
          <w:iCs/>
          <w:szCs w:val="22"/>
        </w:rPr>
        <w:t>ubsidiariteit</w:t>
      </w:r>
    </w:p>
    <w:p w:rsidRPr="009A597A" w:rsidR="00AF5A15" w:rsidP="009A597A" w:rsidRDefault="00AF5A15" w14:paraId="0ACB24FE" w14:textId="4E18FA6F">
      <w:pPr>
        <w:pStyle w:val="Spreekpunten"/>
        <w:numPr>
          <w:ilvl w:val="0"/>
          <w:numId w:val="0"/>
        </w:numPr>
        <w:spacing w:after="160" w:line="240" w:lineRule="auto"/>
        <w:rPr>
          <w:rFonts w:ascii="Calibri" w:hAnsi="Calibri" w:cs="Calibri"/>
          <w:sz w:val="22"/>
          <w:szCs w:val="22"/>
          <w:lang w:val="nl-NL" w:eastAsia="zh-CN"/>
        </w:rPr>
      </w:pPr>
      <w:r w:rsidRPr="009A597A">
        <w:rPr>
          <w:rFonts w:ascii="Calibri" w:hAnsi="Calibri" w:cs="Calibri"/>
          <w:sz w:val="22"/>
          <w:szCs w:val="22"/>
          <w:lang w:val="nl-NL"/>
        </w:rPr>
        <w:t xml:space="preserve">Als onderdeel van de toets of de EU mag optreden conform de EU-verdragen </w:t>
      </w:r>
      <w:r w:rsidRPr="009A597A">
        <w:rPr>
          <w:rFonts w:ascii="Calibri" w:hAnsi="Calibri" w:cs="Calibri"/>
          <w:sz w:val="22"/>
          <w:szCs w:val="22"/>
          <w:lang w:val="nl-NL" w:eastAsia="zh-CN"/>
        </w:rPr>
        <w:t xml:space="preserve">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 </w:t>
      </w:r>
    </w:p>
    <w:p w:rsidRPr="009A597A" w:rsidR="00AF5A15" w:rsidP="009A597A" w:rsidRDefault="00AF5A15" w14:paraId="2E56E816" w14:textId="761DDD44">
      <w:pPr>
        <w:pStyle w:val="Spreekpunten"/>
        <w:numPr>
          <w:ilvl w:val="0"/>
          <w:numId w:val="0"/>
        </w:numPr>
        <w:spacing w:after="160" w:line="240" w:lineRule="auto"/>
        <w:rPr>
          <w:rFonts w:ascii="Calibri" w:hAnsi="Calibri" w:cs="Calibri"/>
          <w:sz w:val="22"/>
          <w:szCs w:val="22"/>
          <w:lang w:val="nl-NL"/>
        </w:rPr>
      </w:pPr>
      <w:r w:rsidRPr="009A597A">
        <w:rPr>
          <w:rFonts w:ascii="Calibri" w:hAnsi="Calibri" w:cs="Calibri"/>
          <w:sz w:val="22"/>
          <w:szCs w:val="22"/>
          <w:lang w:val="nl-NL" w:eastAsia="zh-CN"/>
        </w:rPr>
        <w:t xml:space="preserve">Het oordeel van het kabinet ten aanzien van de subsidiariteit is positief. </w:t>
      </w:r>
      <w:r w:rsidRPr="009A597A" w:rsidR="00C357A3">
        <w:rPr>
          <w:rFonts w:ascii="Calibri" w:hAnsi="Calibri" w:cs="Calibri"/>
          <w:sz w:val="22"/>
          <w:szCs w:val="22"/>
          <w:lang w:val="nl-NL"/>
        </w:rPr>
        <w:t xml:space="preserve">Het voorstel heeft tot doel de grensoverschrijdende justitiële samenwerking te versterken, de opleidingen en Europese rechtscultuur binnen de rechterlijke macht te bevorderen, alsook de verbetering en digitalisering van de toegang tot het recht, door middel van financiering via het justitieprogramma. </w:t>
      </w:r>
      <w:r w:rsidRPr="009A597A">
        <w:rPr>
          <w:rFonts w:ascii="Calibri" w:hAnsi="Calibri" w:cs="Calibri"/>
          <w:sz w:val="22"/>
          <w:szCs w:val="22"/>
          <w:lang w:val="nl-NL"/>
        </w:rPr>
        <w:t>.</w:t>
      </w:r>
      <w:r w:rsidRPr="009A597A" w:rsidR="00BC7A92">
        <w:rPr>
          <w:rFonts w:ascii="Calibri" w:hAnsi="Calibri" w:cs="Calibri"/>
          <w:sz w:val="22"/>
          <w:szCs w:val="22"/>
          <w:lang w:val="nl-NL"/>
        </w:rPr>
        <w:t xml:space="preserve"> Gezien de grensoverschrijdende en Europese aard van deze kwesties, kan dit evenals de financiering hiervan onvoldoende door de lidstaten op centraal, regiona</w:t>
      </w:r>
      <w:r w:rsidRPr="009A597A" w:rsidR="006E4B4C">
        <w:rPr>
          <w:rFonts w:ascii="Calibri" w:hAnsi="Calibri" w:cs="Calibri"/>
          <w:sz w:val="22"/>
          <w:szCs w:val="22"/>
          <w:lang w:val="nl-NL"/>
        </w:rPr>
        <w:t>a</w:t>
      </w:r>
      <w:r w:rsidRPr="009A597A" w:rsidR="00BC7A92">
        <w:rPr>
          <w:rFonts w:ascii="Calibri" w:hAnsi="Calibri" w:cs="Calibri"/>
          <w:sz w:val="22"/>
          <w:szCs w:val="22"/>
          <w:lang w:val="nl-NL"/>
        </w:rPr>
        <w:t>l of lokaal niveau worden verwezenlijkt.</w:t>
      </w:r>
      <w:r w:rsidRPr="009A597A">
        <w:rPr>
          <w:rFonts w:ascii="Calibri" w:hAnsi="Calibri" w:cs="Calibri"/>
          <w:sz w:val="22"/>
          <w:szCs w:val="22"/>
          <w:lang w:val="nl-NL"/>
        </w:rPr>
        <w:t xml:space="preserve"> Daarom is een EU-aanpak nodig. Door een Uniebrede aanpak</w:t>
      </w:r>
      <w:r w:rsidRPr="009A597A" w:rsidR="009106EC">
        <w:rPr>
          <w:rFonts w:ascii="Calibri" w:hAnsi="Calibri" w:cs="Calibri"/>
          <w:sz w:val="22"/>
          <w:szCs w:val="22"/>
          <w:lang w:val="nl-NL"/>
        </w:rPr>
        <w:t xml:space="preserve"> met financiering vanuit de EU</w:t>
      </w:r>
      <w:r w:rsidRPr="009A597A">
        <w:rPr>
          <w:rFonts w:ascii="Calibri" w:hAnsi="Calibri" w:cs="Calibri"/>
          <w:sz w:val="22"/>
          <w:szCs w:val="22"/>
          <w:lang w:val="nl-NL"/>
        </w:rPr>
        <w:t xml:space="preserve"> </w:t>
      </w:r>
      <w:r w:rsidRPr="009A597A" w:rsidR="009106EC">
        <w:rPr>
          <w:rFonts w:ascii="Calibri" w:hAnsi="Calibri" w:cs="Calibri"/>
          <w:sz w:val="22"/>
          <w:szCs w:val="22"/>
          <w:lang w:val="nl-NL"/>
        </w:rPr>
        <w:t>kan het justitieprogramma verder het beste samenwerking faciliteren en lidstaten helpen de doelstellingen van het justitiële EU-beleid te verwezenlijken.</w:t>
      </w:r>
      <w:r w:rsidRPr="009A597A" w:rsidR="00195C9D">
        <w:rPr>
          <w:rFonts w:ascii="Calibri" w:hAnsi="Calibri" w:cs="Calibri"/>
          <w:sz w:val="22"/>
          <w:szCs w:val="22"/>
          <w:lang w:val="nl-NL"/>
        </w:rPr>
        <w:t xml:space="preserve"> </w:t>
      </w:r>
      <w:r w:rsidRPr="009A597A">
        <w:rPr>
          <w:rFonts w:ascii="Calibri" w:hAnsi="Calibri" w:cs="Calibri"/>
          <w:sz w:val="22"/>
          <w:szCs w:val="22"/>
          <w:lang w:val="nl-NL"/>
        </w:rPr>
        <w:t xml:space="preserve">Om die redenen is optreden op het niveau van de EU gerechtvaardigd. </w:t>
      </w:r>
    </w:p>
    <w:p w:rsidRPr="009A597A" w:rsidR="00AF5A15" w:rsidP="009A597A" w:rsidRDefault="00AF5A15" w14:paraId="571261BB" w14:textId="77777777">
      <w:pPr>
        <w:pStyle w:val="Spreekpunten"/>
        <w:numPr>
          <w:ilvl w:val="0"/>
          <w:numId w:val="0"/>
        </w:numPr>
        <w:spacing w:after="160" w:line="240" w:lineRule="auto"/>
        <w:rPr>
          <w:rFonts w:ascii="Calibri" w:hAnsi="Calibri" w:cs="Calibri"/>
          <w:i/>
          <w:iCs/>
          <w:sz w:val="22"/>
          <w:szCs w:val="22"/>
          <w:lang w:val="nl-NL" w:eastAsia="zh-CN"/>
        </w:rPr>
      </w:pPr>
    </w:p>
    <w:p w:rsidRPr="009A597A" w:rsidR="00A15B58" w:rsidP="009A597A" w:rsidRDefault="00076EDE" w14:paraId="773C1AEF" w14:textId="77777777">
      <w:pPr>
        <w:pStyle w:val="Spreekpunten"/>
        <w:numPr>
          <w:ilvl w:val="0"/>
          <w:numId w:val="7"/>
        </w:numPr>
        <w:spacing w:after="160" w:line="240" w:lineRule="auto"/>
        <w:rPr>
          <w:rFonts w:ascii="Calibri" w:hAnsi="Calibri" w:cs="Calibri"/>
          <w:i/>
          <w:sz w:val="22"/>
          <w:szCs w:val="22"/>
          <w:lang w:val="nl-NL" w:eastAsia="zh-CN"/>
        </w:rPr>
      </w:pPr>
      <w:r w:rsidRPr="009A597A">
        <w:rPr>
          <w:rFonts w:ascii="Calibri" w:hAnsi="Calibri" w:cs="Calibri"/>
          <w:i/>
          <w:iCs/>
          <w:sz w:val="22"/>
          <w:szCs w:val="22"/>
          <w:lang w:val="nl-NL" w:eastAsia="zh-CN"/>
        </w:rPr>
        <w:t>P</w:t>
      </w:r>
      <w:r w:rsidRPr="009A597A" w:rsidR="00A15B58">
        <w:rPr>
          <w:rFonts w:ascii="Calibri" w:hAnsi="Calibri" w:cs="Calibri"/>
          <w:i/>
          <w:iCs/>
          <w:sz w:val="22"/>
          <w:szCs w:val="22"/>
          <w:lang w:val="nl-NL" w:eastAsia="zh-CN"/>
        </w:rPr>
        <w:t>roportionaliteit</w:t>
      </w:r>
    </w:p>
    <w:p w:rsidRPr="009A597A" w:rsidR="00B873B1" w:rsidP="009A597A" w:rsidRDefault="009106EC" w14:paraId="4D31F32F" w14:textId="77777777">
      <w:pPr>
        <w:spacing w:after="160" w:line="240" w:lineRule="auto"/>
        <w:rPr>
          <w:rFonts w:ascii="Calibri" w:hAnsi="Calibri" w:cs="Calibri"/>
          <w:szCs w:val="22"/>
        </w:rPr>
      </w:pPr>
      <w:r w:rsidRPr="009A597A">
        <w:rPr>
          <w:rFonts w:ascii="Calibri" w:hAnsi="Calibri" w:cs="Calibri"/>
          <w:szCs w:val="22"/>
        </w:rPr>
        <w:t xml:space="preserve">Als onderdeel van de toets of de EU mag optreden conform de EU-verdragen toetst het kabinet of de inhoud en vorm van het optreden van de Unie niet verder gaan dan wat nodig is om de doelstellingen van de EU-verdragen te verwezenlijken (het proportionaliteitsbeginsel). Het oordeel van het kabinet ten aanzien van de proportionaliteit is positief. Het voorstel heeft tot doel een justitieprogramma met de benodigde middelen vast te stellen ten behoeve van </w:t>
      </w:r>
      <w:r w:rsidRPr="009A597A">
        <w:rPr>
          <w:rFonts w:ascii="Calibri" w:hAnsi="Calibri" w:cs="Calibri"/>
          <w:szCs w:val="22"/>
          <w:lang w:eastAsia="nl-NL"/>
        </w:rPr>
        <w:t xml:space="preserve">het versterken van </w:t>
      </w:r>
      <w:r w:rsidRPr="009A597A">
        <w:rPr>
          <w:rFonts w:ascii="Calibri" w:hAnsi="Calibri" w:cs="Calibri"/>
          <w:szCs w:val="22"/>
        </w:rPr>
        <w:t xml:space="preserve">grensoverschrijdende </w:t>
      </w:r>
      <w:r w:rsidRPr="009A597A">
        <w:rPr>
          <w:rFonts w:ascii="Calibri" w:hAnsi="Calibri" w:cs="Calibri"/>
          <w:szCs w:val="22"/>
          <w:lang w:eastAsia="nl-NL"/>
        </w:rPr>
        <w:t xml:space="preserve">justitiële samenwerking, het bevorderen van opleidingen </w:t>
      </w:r>
      <w:r w:rsidRPr="009A597A">
        <w:rPr>
          <w:rFonts w:ascii="Calibri" w:hAnsi="Calibri" w:cs="Calibri"/>
          <w:szCs w:val="22"/>
        </w:rPr>
        <w:t xml:space="preserve">en een Europese rechtscultuur </w:t>
      </w:r>
      <w:r w:rsidRPr="009A597A">
        <w:rPr>
          <w:rFonts w:ascii="Calibri" w:hAnsi="Calibri" w:cs="Calibri"/>
          <w:szCs w:val="22"/>
          <w:lang w:eastAsia="nl-NL"/>
        </w:rPr>
        <w:t>in de rechterlijke macht, en het verbeteren en digitaliseren van toegang tot het recht</w:t>
      </w:r>
      <w:r w:rsidRPr="009A597A">
        <w:rPr>
          <w:rFonts w:ascii="Calibri" w:hAnsi="Calibri" w:cs="Calibri"/>
          <w:szCs w:val="22"/>
        </w:rPr>
        <w:t xml:space="preserve">. Het voorstel is geschikt om deze doelstelling te bereiken, doordat het in voldoende middelen voorziet om effectief en efficiënt de doelstellingen van het justitieprogramma te realiseren. </w:t>
      </w:r>
    </w:p>
    <w:p w:rsidRPr="009A597A" w:rsidR="009106EC" w:rsidP="009A597A" w:rsidRDefault="00CA0CA4" w14:paraId="57E23CCE" w14:textId="1077562F">
      <w:pPr>
        <w:spacing w:after="160" w:line="240" w:lineRule="auto"/>
        <w:rPr>
          <w:rFonts w:ascii="Calibri" w:hAnsi="Calibri" w:cs="Calibri"/>
          <w:szCs w:val="22"/>
        </w:rPr>
      </w:pPr>
      <w:r w:rsidRPr="009A597A">
        <w:rPr>
          <w:rFonts w:ascii="Calibri" w:hAnsi="Calibri" w:cs="Calibri"/>
          <w:szCs w:val="22"/>
        </w:rPr>
        <w:lastRenderedPageBreak/>
        <w:t>Bovendien gaat het voorstel ook niet verder dan noodzakelijk, doordat het beperkt is tot het bieden van de noodzakelijke financiële en organisatorische ondersteuning voor het realiseren van de doelen van het justitieprogramma</w:t>
      </w:r>
      <w:r w:rsidRPr="009A597A" w:rsidR="00C357A3">
        <w:rPr>
          <w:rFonts w:ascii="Calibri" w:hAnsi="Calibri" w:cs="Calibri"/>
          <w:szCs w:val="22"/>
        </w:rPr>
        <w:t>.</w:t>
      </w:r>
      <w:r w:rsidRPr="009A597A">
        <w:rPr>
          <w:rFonts w:ascii="Calibri" w:hAnsi="Calibri" w:cs="Calibri"/>
          <w:szCs w:val="22"/>
        </w:rPr>
        <w:t xml:space="preserve"> </w:t>
      </w:r>
    </w:p>
    <w:p w:rsidRPr="009A597A" w:rsidR="000B66F2" w:rsidP="009A597A" w:rsidRDefault="000B66F2" w14:paraId="1D439FF4" w14:textId="77777777">
      <w:pPr>
        <w:spacing w:after="160" w:line="240" w:lineRule="auto"/>
        <w:ind w:left="360"/>
        <w:rPr>
          <w:rFonts w:ascii="Calibri" w:hAnsi="Calibri" w:cs="Calibri" w:eastAsiaTheme="minorEastAsia"/>
          <w:kern w:val="3"/>
          <w:szCs w:val="22"/>
        </w:rPr>
      </w:pPr>
    </w:p>
    <w:p w:rsidRPr="009A597A" w:rsidR="00CB7FF8" w:rsidP="009A597A" w:rsidRDefault="3658664E" w14:paraId="465C0372" w14:textId="77777777">
      <w:pPr>
        <w:numPr>
          <w:ilvl w:val="0"/>
          <w:numId w:val="3"/>
        </w:numPr>
        <w:spacing w:after="160" w:line="240" w:lineRule="auto"/>
        <w:rPr>
          <w:rFonts w:ascii="Calibri" w:hAnsi="Calibri" w:cs="Calibri"/>
          <w:b/>
          <w:bCs/>
          <w:szCs w:val="22"/>
        </w:rPr>
      </w:pPr>
      <w:r w:rsidRPr="009A597A">
        <w:rPr>
          <w:rFonts w:ascii="Calibri" w:hAnsi="Calibri" w:cs="Calibri"/>
          <w:b/>
          <w:bCs/>
          <w:szCs w:val="22"/>
        </w:rPr>
        <w:t xml:space="preserve">Financiële consequenties, gevolgen voor regeldruk, concurrentiekracht en geopolitieke aspecten </w:t>
      </w:r>
    </w:p>
    <w:p w:rsidRPr="009A597A" w:rsidR="000E3048" w:rsidP="009A597A" w:rsidRDefault="000E3048" w14:paraId="52FD01E8" w14:textId="77777777">
      <w:pPr>
        <w:spacing w:after="160" w:line="240" w:lineRule="auto"/>
        <w:ind w:left="360"/>
        <w:rPr>
          <w:rFonts w:ascii="Calibri" w:hAnsi="Calibri" w:cs="Calibri"/>
          <w:b/>
          <w:szCs w:val="22"/>
        </w:rPr>
      </w:pPr>
    </w:p>
    <w:p w:rsidRPr="009A597A" w:rsidR="0077787E" w:rsidP="009A597A" w:rsidRDefault="00CB7FF8" w14:paraId="4F3F04C9" w14:textId="77777777">
      <w:pPr>
        <w:numPr>
          <w:ilvl w:val="0"/>
          <w:numId w:val="8"/>
        </w:numPr>
        <w:spacing w:after="160" w:line="240" w:lineRule="auto"/>
        <w:outlineLvl w:val="0"/>
        <w:rPr>
          <w:rFonts w:ascii="Calibri" w:hAnsi="Calibri" w:cs="Calibri"/>
          <w:i/>
          <w:szCs w:val="22"/>
        </w:rPr>
      </w:pPr>
      <w:r w:rsidRPr="009A597A">
        <w:rPr>
          <w:rFonts w:ascii="Calibri" w:hAnsi="Calibri" w:cs="Calibri"/>
          <w:i/>
          <w:szCs w:val="22"/>
        </w:rPr>
        <w:t>Consequenties EU-begroting</w:t>
      </w:r>
    </w:p>
    <w:p w:rsidRPr="009A597A" w:rsidR="0077787E" w:rsidP="009A597A" w:rsidRDefault="0077787E" w14:paraId="3FA77540" w14:textId="26A267A2">
      <w:pPr>
        <w:spacing w:after="160" w:line="240" w:lineRule="auto"/>
        <w:outlineLvl w:val="0"/>
        <w:rPr>
          <w:rFonts w:ascii="Calibri" w:hAnsi="Calibri" w:cs="Calibri"/>
          <w:szCs w:val="22"/>
        </w:rPr>
      </w:pPr>
      <w:r w:rsidRPr="009A597A">
        <w:rPr>
          <w:rFonts w:ascii="Calibri" w:hAnsi="Calibri" w:cs="Calibri"/>
          <w:szCs w:val="22"/>
        </w:rPr>
        <w:t xml:space="preserve">De onderhandelingen over het </w:t>
      </w:r>
      <w:r w:rsidRPr="009A597A" w:rsidR="009A765A">
        <w:rPr>
          <w:rFonts w:ascii="Calibri" w:hAnsi="Calibri" w:cs="Calibri"/>
          <w:szCs w:val="22"/>
        </w:rPr>
        <w:t xml:space="preserve">voorstel voor het </w:t>
      </w:r>
      <w:r w:rsidRPr="009A597A">
        <w:rPr>
          <w:rFonts w:ascii="Calibri" w:hAnsi="Calibri" w:cs="Calibri"/>
          <w:szCs w:val="22"/>
        </w:rPr>
        <w:t xml:space="preserve">Justitieprogramma </w:t>
      </w:r>
      <w:r w:rsidRPr="009A597A" w:rsidR="009A765A">
        <w:rPr>
          <w:rFonts w:ascii="Calibri" w:hAnsi="Calibri" w:cs="Calibri"/>
          <w:szCs w:val="22"/>
        </w:rPr>
        <w:t>zijn</w:t>
      </w:r>
      <w:r w:rsidRPr="009A597A">
        <w:rPr>
          <w:rFonts w:ascii="Calibri" w:hAnsi="Calibri" w:cs="Calibri"/>
          <w:szCs w:val="22"/>
        </w:rPr>
        <w:t xml:space="preserve"> wat betreft de financiële aspecten, integraal onderdeel van de onderhandelingen over het MFK 2028–2034. Nederland hecht eraan dat besprekingen over het Justitieprogramma niet vooruitlopen op de integrale besluitvorming betreffende de budgettaire omvang van het MFK. De beleidsmatige inzet van Nederland </w:t>
      </w:r>
      <w:r w:rsidRPr="009A597A" w:rsidR="009A765A">
        <w:rPr>
          <w:rFonts w:ascii="Calibri" w:hAnsi="Calibri" w:cs="Calibri"/>
          <w:szCs w:val="22"/>
        </w:rPr>
        <w:t xml:space="preserve">bij het voorstel voor het Justitieprogramma </w:t>
      </w:r>
      <w:r w:rsidRPr="009A597A">
        <w:rPr>
          <w:rFonts w:ascii="Calibri" w:hAnsi="Calibri" w:cs="Calibri"/>
          <w:szCs w:val="22"/>
        </w:rPr>
        <w:t>moet ondersteunend zijn aan de overkoepelende Nederlandse inzet in de MFK-onderhandelingen</w:t>
      </w:r>
      <w:r w:rsidRPr="009A597A" w:rsidR="009A765A">
        <w:rPr>
          <w:rFonts w:ascii="Calibri" w:hAnsi="Calibri" w:cs="Calibri"/>
          <w:szCs w:val="22"/>
        </w:rPr>
        <w:t xml:space="preserve"> zoals hierboven toegelicht, te weten</w:t>
      </w:r>
      <w:r w:rsidRPr="009A597A">
        <w:rPr>
          <w:rFonts w:ascii="Calibri" w:hAnsi="Calibri" w:cs="Calibri"/>
          <w:szCs w:val="22"/>
        </w:rPr>
        <w:t xml:space="preserve"> een ambitieus gemoderniseerd en financieel houdbaar MFK. </w:t>
      </w:r>
      <w:r w:rsidRPr="009A597A" w:rsidR="009A765A">
        <w:rPr>
          <w:rFonts w:ascii="Calibri" w:hAnsi="Calibri" w:cs="Calibri"/>
          <w:szCs w:val="22"/>
        </w:rPr>
        <w:t xml:space="preserve">Dit vraagt scherpe keuzes. Binnen dit kader blijft vanzelfsprekend de ruimte bestaan om op de inhoud actief in te spelen op het verloop van de onderhandelingen. </w:t>
      </w:r>
    </w:p>
    <w:p w:rsidRPr="009A597A" w:rsidR="009D27A2" w:rsidP="009A597A" w:rsidRDefault="009D27A2" w14:paraId="1649F71D" w14:textId="77777777">
      <w:pPr>
        <w:spacing w:after="160" w:line="240" w:lineRule="auto"/>
        <w:outlineLvl w:val="0"/>
        <w:rPr>
          <w:rFonts w:ascii="Calibri" w:hAnsi="Calibri" w:cs="Calibri"/>
          <w:bCs/>
          <w:i/>
          <w:iCs/>
          <w:szCs w:val="22"/>
        </w:rPr>
      </w:pPr>
    </w:p>
    <w:p w:rsidRPr="009A597A" w:rsidR="00CB7FF8" w:rsidP="009A597A" w:rsidRDefault="00CB7FF8" w14:paraId="2E99C55D" w14:textId="77777777">
      <w:pPr>
        <w:numPr>
          <w:ilvl w:val="0"/>
          <w:numId w:val="8"/>
        </w:numPr>
        <w:spacing w:after="160" w:line="240" w:lineRule="auto"/>
        <w:outlineLvl w:val="0"/>
        <w:rPr>
          <w:rFonts w:ascii="Calibri" w:hAnsi="Calibri" w:cs="Calibri"/>
          <w:i/>
          <w:szCs w:val="22"/>
        </w:rPr>
      </w:pPr>
      <w:r w:rsidRPr="009A597A">
        <w:rPr>
          <w:rFonts w:ascii="Calibri" w:hAnsi="Calibri" w:cs="Calibri"/>
          <w:i/>
          <w:szCs w:val="22"/>
        </w:rPr>
        <w:t>Financiële consequenties (incl. personele)</w:t>
      </w:r>
      <w:r w:rsidRPr="009A597A" w:rsidR="000A39A4">
        <w:rPr>
          <w:rFonts w:ascii="Calibri" w:hAnsi="Calibri" w:cs="Calibri"/>
          <w:i/>
          <w:szCs w:val="22"/>
        </w:rPr>
        <w:t xml:space="preserve"> </w:t>
      </w:r>
      <w:r w:rsidRPr="009A597A">
        <w:rPr>
          <w:rFonts w:ascii="Calibri" w:hAnsi="Calibri" w:cs="Calibri"/>
          <w:i/>
          <w:szCs w:val="22"/>
        </w:rPr>
        <w:t xml:space="preserve">voor rijksoverheid en/ of </w:t>
      </w:r>
      <w:r w:rsidRPr="009A597A" w:rsidR="002F38E5">
        <w:rPr>
          <w:rFonts w:ascii="Calibri" w:hAnsi="Calibri" w:cs="Calibri"/>
          <w:i/>
          <w:szCs w:val="22"/>
        </w:rPr>
        <w:t>mede</w:t>
      </w:r>
      <w:r w:rsidRPr="009A597A">
        <w:rPr>
          <w:rFonts w:ascii="Calibri" w:hAnsi="Calibri" w:cs="Calibri"/>
          <w:i/>
          <w:szCs w:val="22"/>
        </w:rPr>
        <w:t>overheden</w:t>
      </w:r>
    </w:p>
    <w:p w:rsidRPr="009A597A" w:rsidR="00E0774D" w:rsidP="009A597A" w:rsidRDefault="00E0774D" w14:paraId="5C35529B" w14:textId="6DBB39D8">
      <w:pPr>
        <w:spacing w:after="160" w:line="240" w:lineRule="auto"/>
        <w:rPr>
          <w:rFonts w:ascii="Calibri" w:hAnsi="Calibri" w:cs="Calibri"/>
          <w:szCs w:val="22"/>
        </w:rPr>
      </w:pPr>
      <w:r w:rsidRPr="009A597A">
        <w:rPr>
          <w:rFonts w:ascii="Calibri" w:hAnsi="Calibri" w:cs="Calibri"/>
          <w:szCs w:val="22"/>
        </w:rPr>
        <w:t>Het kabinet zet in op een beperking van de stijging van de Nederlandse afdrachten aan de EU. De inzet in de onderhandelingen zal daartoe bestaan uit een combinatie van een acceptabele omvang van het MFK en een voor Nederland acceptabel aandeel in de nationale bijdragen via het eigenmiddelenbesluit. Eventuele budgettaire gevolgen voor de Rijksbegroting worden ingepast op de begroting van het beleidsverantwoordelijke departement, conform de regels van de budgetdiscipline.</w:t>
      </w:r>
      <w:r w:rsidRPr="009A597A" w:rsidR="00462D62">
        <w:rPr>
          <w:rFonts w:ascii="Calibri" w:hAnsi="Calibri" w:cs="Calibri"/>
          <w:szCs w:val="22"/>
        </w:rPr>
        <w:t xml:space="preserve"> </w:t>
      </w:r>
      <w:r w:rsidRPr="009A597A">
        <w:rPr>
          <w:rFonts w:ascii="Calibri" w:hAnsi="Calibri" w:cs="Calibri"/>
          <w:szCs w:val="22"/>
        </w:rPr>
        <w:t xml:space="preserve">Eventuele tegenvallers op de EU-afdrachten die volgen uit de MFK onderhandelingen dienen gedekt te worden op de Rijksbegroting. </w:t>
      </w:r>
    </w:p>
    <w:p w:rsidRPr="009A597A" w:rsidR="000311B3" w:rsidP="009A597A" w:rsidRDefault="000311B3" w14:paraId="04AEEBA3" w14:textId="77777777">
      <w:pPr>
        <w:pStyle w:val="Lijstalinea"/>
        <w:spacing w:after="160" w:line="240" w:lineRule="auto"/>
        <w:rPr>
          <w:rFonts w:ascii="Calibri" w:hAnsi="Calibri" w:cs="Calibri"/>
          <w:bCs/>
          <w:i/>
          <w:iCs/>
          <w:szCs w:val="22"/>
        </w:rPr>
      </w:pPr>
    </w:p>
    <w:p w:rsidRPr="009A597A" w:rsidR="00BA38B3" w:rsidP="009A597A" w:rsidRDefault="00CB7FF8" w14:paraId="45929233" w14:textId="77777777">
      <w:pPr>
        <w:numPr>
          <w:ilvl w:val="0"/>
          <w:numId w:val="8"/>
        </w:numPr>
        <w:spacing w:after="160" w:line="240" w:lineRule="auto"/>
        <w:rPr>
          <w:rFonts w:ascii="Calibri" w:hAnsi="Calibri" w:cs="Calibri"/>
          <w:i/>
          <w:szCs w:val="22"/>
        </w:rPr>
      </w:pPr>
      <w:r w:rsidRPr="009A597A">
        <w:rPr>
          <w:rFonts w:ascii="Calibri" w:hAnsi="Calibri" w:cs="Calibri"/>
          <w:i/>
          <w:szCs w:val="22"/>
        </w:rPr>
        <w:t>Financiële consequenties</w:t>
      </w:r>
      <w:r w:rsidRPr="009A597A" w:rsidR="000A39A4">
        <w:rPr>
          <w:rFonts w:ascii="Calibri" w:hAnsi="Calibri" w:cs="Calibri"/>
          <w:i/>
          <w:szCs w:val="22"/>
        </w:rPr>
        <w:t xml:space="preserve"> en gevolgen voor regeldruk</w:t>
      </w:r>
      <w:r w:rsidRPr="009A597A">
        <w:rPr>
          <w:rFonts w:ascii="Calibri" w:hAnsi="Calibri" w:cs="Calibri"/>
          <w:i/>
          <w:szCs w:val="22"/>
        </w:rPr>
        <w:t xml:space="preserve"> voor bedrijfsleven en burger</w:t>
      </w:r>
    </w:p>
    <w:p w:rsidRPr="009A597A" w:rsidR="00BA38B3" w:rsidP="009A597A" w:rsidRDefault="006D5C74" w14:paraId="22FF7B08" w14:textId="1253D7E2">
      <w:pPr>
        <w:tabs>
          <w:tab w:val="left" w:pos="360"/>
        </w:tabs>
        <w:spacing w:after="160" w:line="240" w:lineRule="auto"/>
        <w:rPr>
          <w:rFonts w:ascii="Calibri" w:hAnsi="Calibri" w:cs="Calibri"/>
          <w:szCs w:val="22"/>
        </w:rPr>
      </w:pPr>
      <w:r w:rsidRPr="009A597A">
        <w:rPr>
          <w:rFonts w:ascii="Calibri" w:hAnsi="Calibri" w:cs="Calibri"/>
          <w:bCs/>
          <w:szCs w:val="22"/>
        </w:rPr>
        <w:t>Het voorstel als strategische doelstelling heeft het verbeteren van de informatie-uitwisseling tussen nationale autoriteiten, EU-agentschappen, derde landen en private partijen. De met het voorstel beoogde digitalisering vermindert daarnaast de lasten voor justitiële professionals en maakt het voor burgers en bedrijven mogelijk om op afstand in contact te staan met de rechtspraak.</w:t>
      </w:r>
      <w:r w:rsidRPr="009A597A">
        <w:rPr>
          <w:rFonts w:ascii="Calibri" w:hAnsi="Calibri" w:cs="Calibri"/>
          <w:bCs/>
          <w:i/>
          <w:iCs/>
          <w:szCs w:val="22"/>
        </w:rPr>
        <w:t xml:space="preserve"> </w:t>
      </w:r>
      <w:r w:rsidRPr="009A597A" w:rsidR="00BA38B3">
        <w:rPr>
          <w:rFonts w:ascii="Calibri" w:hAnsi="Calibri" w:cs="Calibri"/>
          <w:szCs w:val="22"/>
        </w:rPr>
        <w:t xml:space="preserve">De vereenvoudiging die wordt beoogd in de financieringsverstrekking kan ten opzichte van de huidige programmaperiode leiden tot een verlaging van de kosten voor de uitvoering van projecten voor begunstigden. De begunstigden van het </w:t>
      </w:r>
      <w:r w:rsidRPr="009A597A" w:rsidR="00A3775C">
        <w:rPr>
          <w:rFonts w:ascii="Calibri" w:hAnsi="Calibri" w:cs="Calibri"/>
          <w:szCs w:val="22"/>
        </w:rPr>
        <w:t>Justitieprogramma</w:t>
      </w:r>
      <w:r w:rsidRPr="009A597A" w:rsidR="00BA38B3">
        <w:rPr>
          <w:rFonts w:ascii="Calibri" w:hAnsi="Calibri" w:cs="Calibri"/>
          <w:szCs w:val="22"/>
        </w:rPr>
        <w:t xml:space="preserve"> zijn overheidsorganisaties</w:t>
      </w:r>
      <w:r w:rsidRPr="009A597A" w:rsidR="00A3775C">
        <w:rPr>
          <w:rFonts w:ascii="Calibri" w:hAnsi="Calibri" w:cs="Calibri"/>
          <w:szCs w:val="22"/>
        </w:rPr>
        <w:t xml:space="preserve"> en NGO’s</w:t>
      </w:r>
      <w:r w:rsidRPr="009A597A" w:rsidR="00BA38B3">
        <w:rPr>
          <w:rFonts w:ascii="Calibri" w:hAnsi="Calibri" w:cs="Calibri"/>
          <w:szCs w:val="22"/>
        </w:rPr>
        <w:t>. Indien projecten in publiek-private samenwerking worden ontwikkeld kan dit ook doorwerken op het bedrijfsleven.</w:t>
      </w:r>
      <w:r w:rsidRPr="009A597A" w:rsidR="0081694C">
        <w:rPr>
          <w:rFonts w:ascii="Calibri" w:hAnsi="Calibri" w:cs="Calibri"/>
          <w:szCs w:val="22"/>
        </w:rPr>
        <w:t xml:space="preserve"> Er worden geen regeldrukeffecten voor burgers voorzien. </w:t>
      </w:r>
    </w:p>
    <w:p w:rsidRPr="009A597A" w:rsidR="00BA38B3" w:rsidP="009A597A" w:rsidRDefault="00BA38B3" w14:paraId="3E1FA6D7" w14:textId="77777777">
      <w:pPr>
        <w:spacing w:after="160" w:line="240" w:lineRule="auto"/>
        <w:ind w:left="360"/>
        <w:rPr>
          <w:rFonts w:ascii="Calibri" w:hAnsi="Calibri" w:cs="Calibri"/>
          <w:bCs/>
          <w:i/>
          <w:iCs/>
          <w:szCs w:val="22"/>
        </w:rPr>
      </w:pPr>
    </w:p>
    <w:p w:rsidRPr="009A597A" w:rsidR="00CB7FF8" w:rsidP="009A597A" w:rsidRDefault="00F936B2" w14:paraId="5F506424" w14:textId="77777777">
      <w:pPr>
        <w:numPr>
          <w:ilvl w:val="0"/>
          <w:numId w:val="8"/>
        </w:numPr>
        <w:spacing w:after="160" w:line="240" w:lineRule="auto"/>
        <w:rPr>
          <w:rFonts w:ascii="Calibri" w:hAnsi="Calibri" w:cs="Calibri"/>
          <w:i/>
          <w:szCs w:val="22"/>
        </w:rPr>
      </w:pPr>
      <w:r w:rsidRPr="009A597A">
        <w:rPr>
          <w:rFonts w:ascii="Calibri" w:hAnsi="Calibri" w:cs="Calibri"/>
          <w:i/>
          <w:szCs w:val="22"/>
        </w:rPr>
        <w:t>Gevolgen voor concurrentiekracht</w:t>
      </w:r>
      <w:r w:rsidRPr="009A597A" w:rsidR="00CB7FF8">
        <w:rPr>
          <w:rFonts w:ascii="Calibri" w:hAnsi="Calibri" w:cs="Calibri"/>
          <w:i/>
          <w:szCs w:val="22"/>
        </w:rPr>
        <w:t xml:space="preserve"> </w:t>
      </w:r>
      <w:r w:rsidRPr="009A597A" w:rsidR="000A39A4">
        <w:rPr>
          <w:rFonts w:ascii="Calibri" w:hAnsi="Calibri" w:cs="Calibri"/>
          <w:i/>
          <w:szCs w:val="22"/>
        </w:rPr>
        <w:t>en geopolitieke aspecten</w:t>
      </w:r>
    </w:p>
    <w:p w:rsidRPr="009A597A" w:rsidR="00B91C74" w:rsidP="009A597A" w:rsidRDefault="00B91C74" w14:paraId="2A1E9158" w14:textId="77777777">
      <w:pPr>
        <w:tabs>
          <w:tab w:val="left" w:pos="360"/>
        </w:tabs>
        <w:spacing w:after="160" w:line="240" w:lineRule="auto"/>
        <w:rPr>
          <w:rFonts w:ascii="Calibri" w:hAnsi="Calibri" w:cs="Calibri"/>
          <w:szCs w:val="22"/>
        </w:rPr>
      </w:pPr>
      <w:r w:rsidRPr="009A597A">
        <w:rPr>
          <w:rFonts w:ascii="Calibri" w:hAnsi="Calibri" w:cs="Calibri"/>
          <w:szCs w:val="22"/>
        </w:rPr>
        <w:t xml:space="preserve">Het Justitieprogramma 2028–2034 draagt, tegen de achtergrond van geopolitieke spanningen en interne en externe uitdagingen, indirect bij aan de versterking van de concurrentiekracht van de EU. Een goed functionerende rechtsstaat en effectieve justitiële samenwerking vergroten de </w:t>
      </w:r>
      <w:r w:rsidRPr="009A597A">
        <w:rPr>
          <w:rFonts w:ascii="Calibri" w:hAnsi="Calibri" w:cs="Calibri"/>
          <w:szCs w:val="22"/>
        </w:rPr>
        <w:lastRenderedPageBreak/>
        <w:t>voorspelbaarheid en betrouwbaarheid van de rechtsorde, wat cruciaal is voor een aantrekkelijk investeringsklimaat en het functioneren van de interne markt. Door grensoverschrijdende samenwerking te bevorderen wordt de EU minder kwetsbaar voor ondermijnende dreigingen. Dit vergroot niet alleen de veiligheid en stabiliteit binnen de Unie, maar versterkt ook het vertrouwen van burgers en bedrijven in de rechtsstaat. Daarnaast draagt het programma bij aan internationale samenwerking en wederzijds leren, wat de EU in staat stelt een leidende rol te spelen in het bevorderen van rechtsstatelijke waarden wereldwijd, en daarmee de weerbaarheid en economische positie van de Unie verder verstevigt.</w:t>
      </w:r>
    </w:p>
    <w:p w:rsidRPr="009A597A" w:rsidR="00B1378B" w:rsidP="009A597A" w:rsidRDefault="00B1378B" w14:paraId="71BAB5C2" w14:textId="77777777">
      <w:pPr>
        <w:tabs>
          <w:tab w:val="left" w:pos="567"/>
          <w:tab w:val="left" w:pos="1134"/>
          <w:tab w:val="left" w:pos="1701"/>
          <w:tab w:val="left" w:pos="1843"/>
          <w:tab w:val="left" w:pos="2268"/>
          <w:tab w:val="left" w:pos="2552"/>
          <w:tab w:val="left" w:pos="2835"/>
          <w:tab w:val="left" w:pos="3119"/>
        </w:tabs>
        <w:spacing w:after="160" w:line="240" w:lineRule="auto"/>
        <w:rPr>
          <w:rFonts w:ascii="Calibri" w:hAnsi="Calibri" w:cs="Calibri"/>
          <w:iCs/>
          <w:szCs w:val="22"/>
        </w:rPr>
      </w:pPr>
    </w:p>
    <w:p w:rsidRPr="009A597A" w:rsidR="00CB7FF8" w:rsidP="009A597A" w:rsidRDefault="3658664E" w14:paraId="22DBB6AF" w14:textId="77777777">
      <w:pPr>
        <w:numPr>
          <w:ilvl w:val="0"/>
          <w:numId w:val="3"/>
        </w:numPr>
        <w:spacing w:after="160" w:line="240" w:lineRule="auto"/>
        <w:rPr>
          <w:rFonts w:ascii="Calibri" w:hAnsi="Calibri" w:cs="Calibri"/>
          <w:b/>
          <w:bCs/>
          <w:szCs w:val="22"/>
        </w:rPr>
      </w:pPr>
      <w:r w:rsidRPr="009A597A">
        <w:rPr>
          <w:rFonts w:ascii="Calibri" w:hAnsi="Calibri" w:cs="Calibri"/>
          <w:b/>
          <w:bCs/>
          <w:szCs w:val="22"/>
        </w:rPr>
        <w:t>Implicaties juridisch</w:t>
      </w:r>
    </w:p>
    <w:p w:rsidRPr="009A597A" w:rsidR="00CB7FF8" w:rsidP="009A597A" w:rsidRDefault="00CB7FF8" w14:paraId="61FC1DEE" w14:textId="77777777">
      <w:pPr>
        <w:numPr>
          <w:ilvl w:val="0"/>
          <w:numId w:val="9"/>
        </w:numPr>
        <w:spacing w:after="160" w:line="240" w:lineRule="auto"/>
        <w:rPr>
          <w:rFonts w:ascii="Calibri" w:hAnsi="Calibri" w:cs="Calibri"/>
          <w:i/>
          <w:szCs w:val="22"/>
        </w:rPr>
      </w:pPr>
      <w:r w:rsidRPr="009A597A">
        <w:rPr>
          <w:rFonts w:ascii="Calibri" w:hAnsi="Calibri" w:cs="Calibri"/>
          <w:i/>
          <w:szCs w:val="22"/>
        </w:rPr>
        <w:t xml:space="preserve">Consequenties voor nationale en decentrale regelgeving en/of sanctionering beleid (inclusief  toepassing van de lex silencio positivo) </w:t>
      </w:r>
    </w:p>
    <w:p w:rsidRPr="009A597A" w:rsidR="00CD0E85" w:rsidP="009A597A" w:rsidRDefault="0086454E" w14:paraId="65E50F87" w14:textId="6DA47E54">
      <w:pPr>
        <w:spacing w:after="160" w:line="240" w:lineRule="auto"/>
        <w:rPr>
          <w:rFonts w:ascii="Calibri" w:hAnsi="Calibri" w:cs="Calibri"/>
          <w:szCs w:val="22"/>
        </w:rPr>
      </w:pPr>
      <w:r w:rsidRPr="009A597A">
        <w:rPr>
          <w:rFonts w:ascii="Calibri" w:hAnsi="Calibri" w:cs="Calibri"/>
          <w:szCs w:val="22"/>
        </w:rPr>
        <w:t xml:space="preserve">Het voorstel betreft een Verordening die rechtstreeks in werking zal treden; inhoudelijke omzetting in nationale of decentrale wet- en regelgeving is niet van toepassing. </w:t>
      </w:r>
    </w:p>
    <w:p w:rsidRPr="009A597A" w:rsidR="0004063F" w:rsidP="009A597A" w:rsidRDefault="0004063F" w14:paraId="3FF0719E" w14:textId="77777777">
      <w:pPr>
        <w:spacing w:after="160" w:line="240" w:lineRule="auto"/>
        <w:rPr>
          <w:rFonts w:ascii="Calibri" w:hAnsi="Calibri" w:cs="Calibri"/>
          <w:bCs/>
          <w:i/>
          <w:iCs/>
          <w:szCs w:val="22"/>
        </w:rPr>
      </w:pPr>
    </w:p>
    <w:p w:rsidRPr="009A597A" w:rsidR="00F74E07" w:rsidP="009A597A" w:rsidRDefault="00F74E07" w14:paraId="1F918DF4" w14:textId="77777777">
      <w:pPr>
        <w:numPr>
          <w:ilvl w:val="0"/>
          <w:numId w:val="9"/>
        </w:numPr>
        <w:tabs>
          <w:tab w:val="left" w:pos="-426"/>
        </w:tabs>
        <w:suppressAutoHyphens/>
        <w:spacing w:after="160" w:line="240" w:lineRule="auto"/>
        <w:rPr>
          <w:rFonts w:ascii="Calibri" w:hAnsi="Calibri" w:cs="Calibri"/>
          <w:i/>
          <w:szCs w:val="22"/>
        </w:rPr>
      </w:pPr>
      <w:r w:rsidRPr="009A597A">
        <w:rPr>
          <w:rFonts w:ascii="Calibri" w:hAnsi="Calibri" w:cs="Calibri"/>
          <w:i/>
          <w:szCs w:val="22"/>
        </w:rPr>
        <w:t>Gedelegeerde en/of uitvoeringshandelingen, incl. NL-beoordeling daarvan</w:t>
      </w:r>
    </w:p>
    <w:p w:rsidRPr="009A597A" w:rsidR="0057336A" w:rsidP="009A597A" w:rsidRDefault="0057336A" w14:paraId="1B53155B" w14:textId="3F6E6C12">
      <w:pPr>
        <w:tabs>
          <w:tab w:val="left" w:pos="-426"/>
        </w:tabs>
        <w:suppressAutoHyphens/>
        <w:spacing w:after="160" w:line="240" w:lineRule="auto"/>
        <w:rPr>
          <w:rFonts w:ascii="Calibri" w:hAnsi="Calibri" w:cs="Calibri"/>
          <w:bCs/>
          <w:szCs w:val="22"/>
        </w:rPr>
      </w:pPr>
      <w:r w:rsidRPr="009A597A">
        <w:rPr>
          <w:rFonts w:ascii="Calibri" w:hAnsi="Calibri" w:cs="Calibri"/>
          <w:bCs/>
          <w:szCs w:val="22"/>
        </w:rPr>
        <w:t>Het voorstel geeft de Commissie geen bevoegdheid om gedelegeerde of uitvoeringshandelingen vast te stellen. De kaders om het justitieprogramma te implementeren worden bepaald door Verordening (EU, Euratom) 2024/2509. In het eerder justitieprogramma 2021-2027 w</w:t>
      </w:r>
      <w:r w:rsidRPr="009A597A" w:rsidR="008837FC">
        <w:rPr>
          <w:rFonts w:ascii="Calibri" w:hAnsi="Calibri" w:cs="Calibri"/>
          <w:bCs/>
          <w:szCs w:val="22"/>
        </w:rPr>
        <w:t>e</w:t>
      </w:r>
      <w:r w:rsidRPr="009A597A">
        <w:rPr>
          <w:rFonts w:ascii="Calibri" w:hAnsi="Calibri" w:cs="Calibri"/>
          <w:bCs/>
          <w:szCs w:val="22"/>
        </w:rPr>
        <w:t>rden de werkprogramma’s echter jaarlijks vastgesteld via uitvoeringshandelingen</w:t>
      </w:r>
      <w:r w:rsidRPr="009A597A" w:rsidR="008837FC">
        <w:rPr>
          <w:rFonts w:ascii="Calibri" w:hAnsi="Calibri" w:cs="Calibri"/>
          <w:bCs/>
          <w:szCs w:val="22"/>
        </w:rPr>
        <w:t xml:space="preserve"> met comitologieprocedure</w:t>
      </w:r>
      <w:r w:rsidRPr="009A597A">
        <w:rPr>
          <w:rFonts w:ascii="Calibri" w:hAnsi="Calibri" w:cs="Calibri"/>
          <w:bCs/>
          <w:szCs w:val="22"/>
        </w:rPr>
        <w:t>, zoals voorgeschreven in artikel 290 VWEU. Het kabinet hecht er waarde aan dat deze procedure wordt behouden om jaarlijkse inspraak op het werkprogramma te waarborgen en de betrokkenheid van de lidstaten in de uitvoering van het programma te waarborgen, en zal hierbij pleiten dat de onderzoeksprocedure voor de vaststelling van de benodigde uitvoeringshandelingen hiervoor wordt gebruikt als bedoeld in artikel 5 van verordening 182/2011. Toepassing van deze procedure zou hier volgens het kabinet op zijn plaats zijn, omdat deze werkprogramma’s aanzienlijke implicaties zou hebben in de zin van artikel 2, lid 2, sub b, onder i van verordening 182/2011.</w:t>
      </w:r>
    </w:p>
    <w:p w:rsidRPr="009A597A" w:rsidR="00A3775C" w:rsidP="009A597A" w:rsidRDefault="00A3775C" w14:paraId="404F9877" w14:textId="77777777">
      <w:pPr>
        <w:tabs>
          <w:tab w:val="left" w:pos="-426"/>
        </w:tabs>
        <w:suppressAutoHyphens/>
        <w:spacing w:after="160" w:line="240" w:lineRule="auto"/>
        <w:rPr>
          <w:rFonts w:ascii="Calibri" w:hAnsi="Calibri" w:cs="Calibri"/>
          <w:bCs/>
          <w:i/>
          <w:iCs/>
          <w:szCs w:val="22"/>
        </w:rPr>
      </w:pPr>
    </w:p>
    <w:p w:rsidRPr="009A597A" w:rsidR="00CB7FF8" w:rsidP="009A597A" w:rsidRDefault="00CB7FF8" w14:paraId="4898D370" w14:textId="77777777">
      <w:pPr>
        <w:numPr>
          <w:ilvl w:val="0"/>
          <w:numId w:val="9"/>
        </w:numPr>
        <w:spacing w:after="160" w:line="240" w:lineRule="auto"/>
        <w:rPr>
          <w:rFonts w:ascii="Calibri" w:hAnsi="Calibri" w:cs="Calibri"/>
          <w:i/>
          <w:szCs w:val="22"/>
        </w:rPr>
      </w:pPr>
      <w:r w:rsidRPr="009A597A">
        <w:rPr>
          <w:rFonts w:ascii="Calibri" w:hAnsi="Calibri" w:cs="Calibri"/>
          <w:i/>
          <w:szCs w:val="22"/>
        </w:rPr>
        <w:t>Voorgestelde implementatietermijn (bij richtlijnen), dan wel voorgestelde datum inwerkingtreding (bij verordeningen en bes</w:t>
      </w:r>
      <w:r w:rsidRPr="009A597A" w:rsidR="00AE735B">
        <w:rPr>
          <w:rFonts w:ascii="Calibri" w:hAnsi="Calibri" w:cs="Calibri"/>
          <w:i/>
          <w:szCs w:val="22"/>
        </w:rPr>
        <w:t>luiten</w:t>
      </w:r>
      <w:r w:rsidRPr="009A597A">
        <w:rPr>
          <w:rFonts w:ascii="Calibri" w:hAnsi="Calibri" w:cs="Calibri"/>
          <w:i/>
          <w:szCs w:val="22"/>
        </w:rPr>
        <w:t>) met commentaar t.a.v. haalbaarheid</w:t>
      </w:r>
    </w:p>
    <w:p w:rsidRPr="009A597A" w:rsidR="00CD0E85" w:rsidP="009A597A" w:rsidRDefault="0086454E" w14:paraId="29F45119" w14:textId="67D9FCD8">
      <w:pPr>
        <w:spacing w:after="160" w:line="240" w:lineRule="auto"/>
        <w:rPr>
          <w:rFonts w:ascii="Calibri" w:hAnsi="Calibri" w:cs="Calibri"/>
          <w:szCs w:val="22"/>
        </w:rPr>
      </w:pPr>
      <w:r w:rsidRPr="009A597A">
        <w:rPr>
          <w:rFonts w:ascii="Calibri" w:hAnsi="Calibri" w:cs="Calibri"/>
          <w:bCs/>
          <w:szCs w:val="22"/>
        </w:rPr>
        <w:t xml:space="preserve">Deze verordening treedt in werking met ingang van de twintigste dag na publicatie in het Publicatieblad van de Europese Unie. Het is vanaf die datum rechtstreeks toepasselijk overeenkomstig de verdragen. </w:t>
      </w:r>
      <w:r w:rsidRPr="009A597A">
        <w:rPr>
          <w:rFonts w:ascii="Calibri" w:hAnsi="Calibri" w:cs="Calibri"/>
          <w:bCs/>
          <w:iCs/>
          <w:szCs w:val="22"/>
        </w:rPr>
        <w:t>Ervanuit gaande dat de onderhandelingen over het MFK in 2027 zijn afgerond, is er naar verwachting beperkte tijd om het justitie programma in te voeren. Het kabinet zal daarom pleiten voor een realistische termijn die genoeg ruimte biedt voor een zorgvuldige uitwerking.</w:t>
      </w:r>
      <w:r w:rsidRPr="009A597A" w:rsidR="00CD0E85">
        <w:rPr>
          <w:rFonts w:ascii="Calibri" w:hAnsi="Calibri" w:cs="Calibri"/>
          <w:szCs w:val="22"/>
        </w:rPr>
        <w:t>.</w:t>
      </w:r>
    </w:p>
    <w:p w:rsidRPr="009A597A" w:rsidR="00CD0E85" w:rsidP="009A597A" w:rsidRDefault="00CD0E85" w14:paraId="1CD7E4A8" w14:textId="77777777">
      <w:pPr>
        <w:spacing w:after="160" w:line="240" w:lineRule="auto"/>
        <w:rPr>
          <w:rFonts w:ascii="Calibri" w:hAnsi="Calibri" w:cs="Calibri"/>
          <w:bCs/>
          <w:szCs w:val="22"/>
        </w:rPr>
      </w:pPr>
    </w:p>
    <w:p w:rsidRPr="009A597A" w:rsidR="00CB7FF8" w:rsidP="009A597A" w:rsidRDefault="00CB7FF8" w14:paraId="216BB9D4" w14:textId="77777777">
      <w:pPr>
        <w:numPr>
          <w:ilvl w:val="0"/>
          <w:numId w:val="9"/>
        </w:numPr>
        <w:spacing w:after="160" w:line="240" w:lineRule="auto"/>
        <w:rPr>
          <w:rFonts w:ascii="Calibri" w:hAnsi="Calibri" w:cs="Calibri"/>
          <w:i/>
          <w:szCs w:val="22"/>
        </w:rPr>
      </w:pPr>
      <w:r w:rsidRPr="009A597A">
        <w:rPr>
          <w:rFonts w:ascii="Calibri" w:hAnsi="Calibri" w:cs="Calibri"/>
          <w:i/>
          <w:szCs w:val="22"/>
        </w:rPr>
        <w:t>Wenselijkheid evaluatie-/horizonbepaling</w:t>
      </w:r>
    </w:p>
    <w:p w:rsidRPr="009A597A" w:rsidR="00CD0E85" w:rsidP="009A597A" w:rsidRDefault="00CD0E85" w14:paraId="3CC4C7B7" w14:textId="77777777">
      <w:pPr>
        <w:spacing w:after="160" w:line="240" w:lineRule="auto"/>
        <w:rPr>
          <w:rFonts w:ascii="Calibri" w:hAnsi="Calibri" w:cs="Calibri"/>
          <w:szCs w:val="22"/>
        </w:rPr>
      </w:pPr>
      <w:r w:rsidRPr="009A597A">
        <w:rPr>
          <w:rFonts w:ascii="Calibri" w:hAnsi="Calibri" w:cs="Calibri"/>
          <w:szCs w:val="22"/>
        </w:rPr>
        <w:t xml:space="preserve">Er wordt geen aparte evaluatie voorzien. </w:t>
      </w:r>
    </w:p>
    <w:p w:rsidRPr="009A597A" w:rsidR="00BC7A92" w:rsidP="009A597A" w:rsidRDefault="00BC7A92" w14:paraId="642E9F2E" w14:textId="77777777">
      <w:pPr>
        <w:spacing w:after="160" w:line="240" w:lineRule="auto"/>
        <w:rPr>
          <w:rFonts w:ascii="Calibri" w:hAnsi="Calibri" w:cs="Calibri"/>
          <w:bCs/>
          <w:szCs w:val="22"/>
        </w:rPr>
      </w:pPr>
    </w:p>
    <w:p w:rsidRPr="009A597A" w:rsidR="00BC7A92" w:rsidP="009A597A" w:rsidRDefault="00BC7A92" w14:paraId="6B9D9089" w14:textId="77777777">
      <w:pPr>
        <w:numPr>
          <w:ilvl w:val="0"/>
          <w:numId w:val="9"/>
        </w:numPr>
        <w:spacing w:after="160" w:line="240" w:lineRule="auto"/>
        <w:rPr>
          <w:rFonts w:ascii="Calibri" w:hAnsi="Calibri" w:cs="Calibri"/>
          <w:i/>
          <w:iCs/>
          <w:szCs w:val="22"/>
        </w:rPr>
      </w:pPr>
      <w:r w:rsidRPr="009A597A">
        <w:rPr>
          <w:rFonts w:ascii="Calibri" w:hAnsi="Calibri" w:cs="Calibri"/>
          <w:i/>
          <w:szCs w:val="22"/>
        </w:rPr>
        <w:t>Constitutionele toets</w:t>
      </w:r>
    </w:p>
    <w:p w:rsidRPr="009A597A" w:rsidR="00BC7A92" w:rsidP="009A597A" w:rsidRDefault="00BC7A92" w14:paraId="2D5A17DD" w14:textId="1C6EBCE5">
      <w:pPr>
        <w:tabs>
          <w:tab w:val="left" w:pos="-284"/>
          <w:tab w:val="left" w:pos="340"/>
          <w:tab w:val="left" w:pos="426"/>
          <w:tab w:val="left" w:pos="680"/>
          <w:tab w:val="left" w:pos="1021"/>
          <w:tab w:val="left" w:pos="1361"/>
        </w:tabs>
        <w:spacing w:after="160" w:line="240" w:lineRule="auto"/>
        <w:rPr>
          <w:rFonts w:ascii="Calibri" w:hAnsi="Calibri" w:cs="Calibri"/>
          <w:szCs w:val="22"/>
        </w:rPr>
      </w:pPr>
      <w:r w:rsidRPr="009A597A">
        <w:rPr>
          <w:rFonts w:ascii="Calibri" w:hAnsi="Calibri" w:cs="Calibri"/>
          <w:szCs w:val="22"/>
        </w:rPr>
        <w:t>Niet van toepassing.</w:t>
      </w:r>
    </w:p>
    <w:p w:rsidRPr="009A597A" w:rsidR="00BC7A92" w:rsidP="009A597A" w:rsidRDefault="00BC7A92" w14:paraId="745253A5" w14:textId="77777777">
      <w:pPr>
        <w:numPr>
          <w:ilvl w:val="0"/>
          <w:numId w:val="3"/>
        </w:numPr>
        <w:spacing w:after="160" w:line="240" w:lineRule="auto"/>
        <w:rPr>
          <w:rFonts w:ascii="Calibri" w:hAnsi="Calibri" w:cs="Calibri"/>
          <w:b/>
          <w:bCs/>
          <w:szCs w:val="22"/>
        </w:rPr>
      </w:pPr>
      <w:r w:rsidRPr="009A597A">
        <w:rPr>
          <w:rFonts w:ascii="Calibri" w:hAnsi="Calibri" w:cs="Calibri"/>
          <w:b/>
          <w:bCs/>
          <w:szCs w:val="22"/>
        </w:rPr>
        <w:lastRenderedPageBreak/>
        <w:t>Implicaties voor uitvoering en/of handhaving</w:t>
      </w:r>
    </w:p>
    <w:p w:rsidRPr="009A597A" w:rsidR="00BC7A92" w:rsidP="009A597A" w:rsidRDefault="00BC7A92" w14:paraId="155FE365" w14:textId="0A34CD8D">
      <w:pPr>
        <w:suppressAutoHyphens/>
        <w:spacing w:after="160" w:line="240" w:lineRule="auto"/>
        <w:rPr>
          <w:rFonts w:ascii="Calibri" w:hAnsi="Calibri" w:cs="Calibri"/>
          <w:szCs w:val="22"/>
        </w:rPr>
      </w:pPr>
      <w:r w:rsidRPr="009A597A">
        <w:rPr>
          <w:rFonts w:ascii="Calibri" w:hAnsi="Calibri" w:cs="Calibri"/>
          <w:szCs w:val="22"/>
        </w:rPr>
        <w:t xml:space="preserve">Het justitieprogramma wordt uitgevoerd in </w:t>
      </w:r>
      <w:r w:rsidRPr="009A597A" w:rsidR="0086454E">
        <w:rPr>
          <w:rFonts w:ascii="Calibri" w:hAnsi="Calibri" w:cs="Calibri"/>
          <w:szCs w:val="22"/>
        </w:rPr>
        <w:t xml:space="preserve">direct </w:t>
      </w:r>
      <w:r w:rsidRPr="009A597A">
        <w:rPr>
          <w:rFonts w:ascii="Calibri" w:hAnsi="Calibri" w:cs="Calibri"/>
          <w:szCs w:val="22"/>
        </w:rPr>
        <w:t xml:space="preserve">beheer </w:t>
      </w:r>
      <w:r w:rsidRPr="009A597A" w:rsidR="0086454E">
        <w:rPr>
          <w:rFonts w:ascii="Calibri" w:hAnsi="Calibri" w:cs="Calibri"/>
          <w:szCs w:val="22"/>
        </w:rPr>
        <w:t>van</w:t>
      </w:r>
      <w:r w:rsidRPr="009A597A">
        <w:rPr>
          <w:rFonts w:ascii="Calibri" w:hAnsi="Calibri" w:cs="Calibri"/>
          <w:szCs w:val="22"/>
        </w:rPr>
        <w:t xml:space="preserve"> de Europese Commissie. Fondsen binnen het justitieprogramma kunnen worden aangevraagd door een variëteit aan organisaties binnen justitieveld en het departement waaronder de rechtspraak, openbaar ministerie, de reclassering en de raad voor de kinderbescherming. </w:t>
      </w:r>
      <w:r w:rsidRPr="009A597A" w:rsidR="0086454E">
        <w:rPr>
          <w:rFonts w:ascii="Calibri" w:hAnsi="Calibri" w:cs="Calibri"/>
          <w:szCs w:val="22"/>
        </w:rPr>
        <w:t xml:space="preserve">Naar verwachting wordt de uitvoerbaarheid van de procedures rondom dit nieuwe programma wel verbeterd door middel van de vereenvoudiging en standaardisering van de </w:t>
      </w:r>
      <w:r w:rsidRPr="009A597A" w:rsidR="00327F22">
        <w:rPr>
          <w:rFonts w:ascii="Calibri" w:hAnsi="Calibri" w:cs="Calibri"/>
          <w:szCs w:val="22"/>
        </w:rPr>
        <w:t>financiële verantwoording</w:t>
      </w:r>
      <w:r w:rsidRPr="009A597A" w:rsidR="0086454E">
        <w:rPr>
          <w:rFonts w:ascii="Calibri" w:hAnsi="Calibri" w:cs="Calibri"/>
          <w:szCs w:val="22"/>
        </w:rPr>
        <w:t>. Dit heeft een positief effect op alle instanties die aanspraak willen maken op de Europese subsidies. Wat betreft de handhaving van de voorgestelde verordening zijn geen problemen voorzien.</w:t>
      </w:r>
    </w:p>
    <w:p w:rsidRPr="009A597A" w:rsidR="00BC7A92" w:rsidP="009A597A" w:rsidRDefault="00BC7A92" w14:paraId="1AA35650" w14:textId="77777777">
      <w:pPr>
        <w:suppressAutoHyphens/>
        <w:spacing w:after="160" w:line="240" w:lineRule="auto"/>
        <w:rPr>
          <w:rFonts w:ascii="Calibri" w:hAnsi="Calibri" w:cs="Calibri"/>
          <w:b/>
          <w:szCs w:val="22"/>
        </w:rPr>
      </w:pPr>
    </w:p>
    <w:p w:rsidRPr="009A597A" w:rsidR="00BC7A92" w:rsidP="009A597A" w:rsidRDefault="00BC7A92" w14:paraId="0732EC85" w14:textId="77777777">
      <w:pPr>
        <w:numPr>
          <w:ilvl w:val="0"/>
          <w:numId w:val="3"/>
        </w:numPr>
        <w:spacing w:after="160" w:line="240" w:lineRule="auto"/>
        <w:rPr>
          <w:rFonts w:ascii="Calibri" w:hAnsi="Calibri" w:cs="Calibri"/>
          <w:b/>
          <w:bCs/>
          <w:szCs w:val="22"/>
        </w:rPr>
      </w:pPr>
      <w:r w:rsidRPr="009A597A">
        <w:rPr>
          <w:rFonts w:ascii="Calibri" w:hAnsi="Calibri" w:cs="Calibri"/>
          <w:b/>
          <w:bCs/>
          <w:szCs w:val="22"/>
        </w:rPr>
        <w:t>Implicaties voor ontwikkelingslanden</w:t>
      </w:r>
    </w:p>
    <w:p w:rsidRPr="009A597A" w:rsidR="00BC7A92" w:rsidP="009A597A" w:rsidRDefault="00327F22" w14:paraId="47A8594C" w14:textId="6BE90A07">
      <w:pPr>
        <w:spacing w:after="160" w:line="240" w:lineRule="auto"/>
        <w:rPr>
          <w:rFonts w:ascii="Calibri" w:hAnsi="Calibri" w:cs="Calibri"/>
          <w:szCs w:val="22"/>
          <w:lang w:eastAsia="nl-NL"/>
        </w:rPr>
      </w:pPr>
      <w:r w:rsidRPr="009A597A">
        <w:rPr>
          <w:rFonts w:ascii="Calibri" w:hAnsi="Calibri" w:cs="Calibri"/>
          <w:szCs w:val="22"/>
          <w:lang w:eastAsia="nl-NL"/>
        </w:rPr>
        <w:t xml:space="preserve">In het voorstel geeft de Commissie aan met het </w:t>
      </w:r>
      <w:r w:rsidRPr="009A597A" w:rsidR="00B56ABC">
        <w:rPr>
          <w:rFonts w:ascii="Calibri" w:hAnsi="Calibri" w:cs="Calibri"/>
          <w:szCs w:val="22"/>
          <w:lang w:eastAsia="nl-NL"/>
        </w:rPr>
        <w:t>justitie</w:t>
      </w:r>
      <w:r w:rsidRPr="009A597A">
        <w:rPr>
          <w:rFonts w:ascii="Calibri" w:hAnsi="Calibri" w:cs="Calibri"/>
          <w:szCs w:val="22"/>
          <w:lang w:eastAsia="nl-NL"/>
        </w:rPr>
        <w:t xml:space="preserve"> programma aan te willen sluiten op het Global Europe pakket, het financieringsinstrument van de Unie voor internationale samenwerking en ontwikkelingshulp. </w:t>
      </w:r>
      <w:r w:rsidRPr="009A597A" w:rsidR="00B56ABC">
        <w:rPr>
          <w:rFonts w:ascii="Calibri" w:hAnsi="Calibri" w:cs="Calibri"/>
          <w:szCs w:val="22"/>
          <w:lang w:eastAsia="nl-NL"/>
        </w:rPr>
        <w:t>Het justitie programma</w:t>
      </w:r>
      <w:r w:rsidRPr="009A597A">
        <w:rPr>
          <w:rFonts w:ascii="Calibri" w:hAnsi="Calibri" w:cs="Calibri"/>
          <w:szCs w:val="22"/>
          <w:lang w:eastAsia="nl-NL"/>
        </w:rPr>
        <w:t xml:space="preserve"> zal dus een aanvulling vormen op acties die via het externe optreden van de Unie worden gefinancierd. Zo zijn deelname van derde landen en steun voor internationale samenwerkingsverbanden ook onderdeel van het programma.</w:t>
      </w:r>
    </w:p>
    <w:bookmarkEnd w:id="0"/>
    <w:bookmarkEnd w:id="1"/>
    <w:p w:rsidRPr="009A597A" w:rsidR="009A3B1D" w:rsidP="009A597A" w:rsidRDefault="009A3B1D" w14:paraId="164D86CB" w14:textId="77777777">
      <w:pPr>
        <w:spacing w:after="160" w:line="240" w:lineRule="auto"/>
        <w:rPr>
          <w:rFonts w:ascii="Calibri" w:hAnsi="Calibri" w:cs="Calibri"/>
          <w:szCs w:val="22"/>
        </w:rPr>
      </w:pPr>
    </w:p>
    <w:sectPr w:rsidRPr="009A597A" w:rsidR="009A3B1D" w:rsidSect="00BA4E28">
      <w:footerReference w:type="even" r:id="rId13"/>
      <w:footerReference w:type="default" r:id="rId14"/>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E0FF7" w14:textId="77777777" w:rsidR="00F504DF" w:rsidRDefault="00F504DF">
      <w:r>
        <w:separator/>
      </w:r>
    </w:p>
  </w:endnote>
  <w:endnote w:type="continuationSeparator" w:id="0">
    <w:p w14:paraId="4433AD31" w14:textId="77777777" w:rsidR="00F504DF" w:rsidRDefault="00F504DF">
      <w:r>
        <w:continuationSeparator/>
      </w:r>
    </w:p>
  </w:endnote>
  <w:endnote w:type="continuationNotice" w:id="1">
    <w:p w14:paraId="35BCB662" w14:textId="77777777" w:rsidR="00F504DF" w:rsidRDefault="00F504D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jaVu Sans">
    <w:altName w:val="Times New Roman"/>
    <w:charset w:val="00"/>
    <w:family w:val="swiss"/>
    <w:pitch w:val="variable"/>
    <w:sig w:usb0="E7000EFF" w:usb1="5200FDFF" w:usb2="0A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5E5F5" w14:textId="494D09E3" w:rsidR="0037596E" w:rsidRDefault="0037596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3509E">
      <w:rPr>
        <w:rStyle w:val="Paginanummer"/>
        <w:noProof/>
      </w:rPr>
      <w:t>2</w:t>
    </w:r>
    <w:r>
      <w:rPr>
        <w:rStyle w:val="Paginanummer"/>
      </w:rPr>
      <w:fldChar w:fldCharType="end"/>
    </w:r>
  </w:p>
  <w:p w14:paraId="3DB3EF06" w14:textId="77777777" w:rsidR="0037596E" w:rsidRDefault="0037596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682DF" w14:textId="77777777" w:rsidR="0037596E" w:rsidRDefault="0037596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6A8B9" w14:textId="77777777" w:rsidR="00F504DF" w:rsidRDefault="00F504DF">
      <w:r>
        <w:separator/>
      </w:r>
    </w:p>
  </w:footnote>
  <w:footnote w:type="continuationSeparator" w:id="0">
    <w:p w14:paraId="1410652A" w14:textId="77777777" w:rsidR="00F504DF" w:rsidRDefault="00F504DF">
      <w:r>
        <w:continuationSeparator/>
      </w:r>
    </w:p>
  </w:footnote>
  <w:footnote w:type="continuationNotice" w:id="1">
    <w:p w14:paraId="7A672321" w14:textId="77777777" w:rsidR="00F504DF" w:rsidRDefault="00F504DF">
      <w:pPr>
        <w:spacing w:line="240" w:lineRule="auto"/>
      </w:pPr>
    </w:p>
  </w:footnote>
  <w:footnote w:id="2">
    <w:p w14:paraId="58E81BFC" w14:textId="4A169679" w:rsidR="00B873B1" w:rsidRPr="009A597A" w:rsidRDefault="005C2ABB" w:rsidP="009A597A">
      <w:pPr>
        <w:pStyle w:val="Geenafstand"/>
        <w:rPr>
          <w:rFonts w:ascii="Calibri" w:hAnsi="Calibri" w:cs="Calibri"/>
          <w:sz w:val="20"/>
          <w:lang w:val="en-US"/>
        </w:rPr>
      </w:pPr>
      <w:r w:rsidRPr="009A597A">
        <w:rPr>
          <w:rStyle w:val="Voetnootmarkering"/>
          <w:rFonts w:ascii="Calibri" w:hAnsi="Calibri" w:cs="Calibri"/>
          <w:sz w:val="20"/>
        </w:rPr>
        <w:footnoteRef/>
      </w:r>
      <w:r w:rsidRPr="009A597A">
        <w:rPr>
          <w:rFonts w:ascii="Calibri" w:hAnsi="Calibri" w:cs="Calibri"/>
          <w:sz w:val="20"/>
          <w:lang w:val="en-GB"/>
        </w:rPr>
        <w:t xml:space="preserve"> </w:t>
      </w:r>
      <w:hyperlink r:id="rId1" w:history="1">
        <w:r w:rsidR="00B873B1" w:rsidRPr="009A597A">
          <w:rPr>
            <w:rStyle w:val="Hyperlink"/>
            <w:rFonts w:ascii="Calibri" w:hAnsi="Calibri" w:cs="Calibri"/>
            <w:sz w:val="20"/>
            <w:lang w:val="en-GB"/>
          </w:rPr>
          <w:t>https://www.rijksoverheid.nl/documenten/kamerstukken/2025/03/28/kamerbrief-inzake-nederlandse-inzet-hoofdlijnen-mfk-2028</w:t>
        </w:r>
      </w:hyperlink>
    </w:p>
  </w:footnote>
  <w:footnote w:id="3">
    <w:p w14:paraId="7860766B" w14:textId="2F1ED47A" w:rsidR="00B873B1" w:rsidRPr="009A597A" w:rsidRDefault="0057336A" w:rsidP="009A597A">
      <w:pPr>
        <w:pStyle w:val="Geenafstand"/>
        <w:rPr>
          <w:rFonts w:ascii="Calibri" w:hAnsi="Calibri" w:cs="Calibri"/>
          <w:sz w:val="20"/>
          <w:lang w:val="en-US"/>
        </w:rPr>
      </w:pPr>
      <w:r w:rsidRPr="009A597A">
        <w:rPr>
          <w:rStyle w:val="Voetnootmarkering"/>
          <w:rFonts w:ascii="Calibri" w:hAnsi="Calibri" w:cs="Calibri"/>
          <w:sz w:val="20"/>
        </w:rPr>
        <w:footnoteRef/>
      </w:r>
      <w:r w:rsidRPr="009A597A">
        <w:rPr>
          <w:rFonts w:ascii="Calibri" w:hAnsi="Calibri" w:cs="Calibri"/>
          <w:sz w:val="20"/>
          <w:lang w:val="en-US"/>
        </w:rPr>
        <w:t xml:space="preserve"> </w:t>
      </w:r>
      <w:hyperlink r:id="rId2" w:history="1">
        <w:r w:rsidR="00B873B1" w:rsidRPr="009A597A">
          <w:rPr>
            <w:rStyle w:val="Hyperlink"/>
            <w:rFonts w:ascii="Calibri" w:hAnsi="Calibri" w:cs="Calibri"/>
            <w:sz w:val="20"/>
            <w:lang w:val="en-US"/>
          </w:rPr>
          <w:t>https://www.rijksoverheid.nl/documenten/kamerstukken/2025/09/12/kamerbrief-inzake-kabinetsappreciatie-mfk-en-emb-voorstellen-europese-commissie</w:t>
        </w:r>
      </w:hyperlink>
    </w:p>
  </w:footnote>
  <w:footnote w:id="4">
    <w:p w14:paraId="2616378B" w14:textId="77777777" w:rsidR="00273AB1" w:rsidRPr="009A597A" w:rsidRDefault="00273AB1" w:rsidP="009A597A">
      <w:pPr>
        <w:pStyle w:val="Geenafstand"/>
        <w:rPr>
          <w:rFonts w:ascii="Calibri" w:hAnsi="Calibri" w:cs="Calibri"/>
          <w:sz w:val="20"/>
        </w:rPr>
      </w:pPr>
      <w:r w:rsidRPr="009A597A">
        <w:rPr>
          <w:rStyle w:val="Voetnootmarkering"/>
          <w:rFonts w:ascii="Calibri" w:hAnsi="Calibri" w:cs="Calibri"/>
          <w:sz w:val="20"/>
        </w:rPr>
        <w:footnoteRef/>
      </w:r>
      <w:r w:rsidRPr="009A597A">
        <w:rPr>
          <w:rFonts w:ascii="Calibri" w:hAnsi="Calibri" w:cs="Calibri"/>
          <w:sz w:val="20"/>
        </w:rPr>
        <w:t xml:space="preserve"> Verordening (EU) 2023/2844 van het Europees Parlement en de Raad van 13 december 2023 betreffende een digitaal systeem voor grensoverschrijdende civiele, handels- en strafprocedures (PbEU 2023, L 2023/2844)</w:t>
      </w:r>
    </w:p>
  </w:footnote>
  <w:footnote w:id="5">
    <w:p w14:paraId="3D5D872B" w14:textId="0E5433C0" w:rsidR="00C244D3" w:rsidRPr="009A597A" w:rsidRDefault="00C244D3" w:rsidP="009A597A">
      <w:pPr>
        <w:pStyle w:val="Voetnoottekst"/>
        <w:spacing w:line="240" w:lineRule="auto"/>
        <w:rPr>
          <w:rFonts w:ascii="Calibri" w:hAnsi="Calibri" w:cs="Calibri"/>
          <w:sz w:val="20"/>
        </w:rPr>
      </w:pPr>
      <w:r w:rsidRPr="009A597A">
        <w:rPr>
          <w:rStyle w:val="Voetnootmarkering"/>
          <w:rFonts w:ascii="Calibri" w:hAnsi="Calibri" w:cs="Calibri"/>
          <w:sz w:val="20"/>
        </w:rPr>
        <w:footnoteRef/>
      </w:r>
      <w:r w:rsidRPr="009A597A">
        <w:rPr>
          <w:rFonts w:ascii="Calibri" w:hAnsi="Calibri" w:cs="Calibri"/>
          <w:sz w:val="20"/>
        </w:rPr>
        <w:t xml:space="preserve"> </w:t>
      </w:r>
      <w:r w:rsidR="007265F2" w:rsidRPr="009A597A">
        <w:rPr>
          <w:rFonts w:ascii="Calibri" w:hAnsi="Calibri" w:cs="Calibri"/>
          <w:sz w:val="20"/>
        </w:rPr>
        <w:t>Kamerstukken II 2023/24, 36 471, nr. 96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01371"/>
    <w:multiLevelType w:val="hybridMultilevel"/>
    <w:tmpl w:val="34841A6E"/>
    <w:lvl w:ilvl="0" w:tplc="2E444AEA">
      <w:start w:val="1"/>
      <w:numFmt w:val="decimal"/>
      <w:lvlText w:val="%1)"/>
      <w:lvlJc w:val="left"/>
      <w:pPr>
        <w:ind w:left="1020" w:hanging="360"/>
      </w:pPr>
    </w:lvl>
    <w:lvl w:ilvl="1" w:tplc="79B6A8DA">
      <w:start w:val="1"/>
      <w:numFmt w:val="decimal"/>
      <w:lvlText w:val="%2)"/>
      <w:lvlJc w:val="left"/>
      <w:pPr>
        <w:ind w:left="1020" w:hanging="360"/>
      </w:pPr>
    </w:lvl>
    <w:lvl w:ilvl="2" w:tplc="6750C1DC">
      <w:start w:val="1"/>
      <w:numFmt w:val="decimal"/>
      <w:lvlText w:val="%3)"/>
      <w:lvlJc w:val="left"/>
      <w:pPr>
        <w:ind w:left="1020" w:hanging="360"/>
      </w:pPr>
    </w:lvl>
    <w:lvl w:ilvl="3" w:tplc="C818C1BE">
      <w:start w:val="1"/>
      <w:numFmt w:val="decimal"/>
      <w:lvlText w:val="%4)"/>
      <w:lvlJc w:val="left"/>
      <w:pPr>
        <w:ind w:left="1020" w:hanging="360"/>
      </w:pPr>
    </w:lvl>
    <w:lvl w:ilvl="4" w:tplc="332EEE7A">
      <w:start w:val="1"/>
      <w:numFmt w:val="decimal"/>
      <w:lvlText w:val="%5)"/>
      <w:lvlJc w:val="left"/>
      <w:pPr>
        <w:ind w:left="1020" w:hanging="360"/>
      </w:pPr>
    </w:lvl>
    <w:lvl w:ilvl="5" w:tplc="86DE6BFC">
      <w:start w:val="1"/>
      <w:numFmt w:val="decimal"/>
      <w:lvlText w:val="%6)"/>
      <w:lvlJc w:val="left"/>
      <w:pPr>
        <w:ind w:left="1020" w:hanging="360"/>
      </w:pPr>
    </w:lvl>
    <w:lvl w:ilvl="6" w:tplc="0DD2B42E">
      <w:start w:val="1"/>
      <w:numFmt w:val="decimal"/>
      <w:lvlText w:val="%7)"/>
      <w:lvlJc w:val="left"/>
      <w:pPr>
        <w:ind w:left="1020" w:hanging="360"/>
      </w:pPr>
    </w:lvl>
    <w:lvl w:ilvl="7" w:tplc="C2CCB73C">
      <w:start w:val="1"/>
      <w:numFmt w:val="decimal"/>
      <w:lvlText w:val="%8)"/>
      <w:lvlJc w:val="left"/>
      <w:pPr>
        <w:ind w:left="1020" w:hanging="360"/>
      </w:pPr>
    </w:lvl>
    <w:lvl w:ilvl="8" w:tplc="0E566B56">
      <w:start w:val="1"/>
      <w:numFmt w:val="decimal"/>
      <w:lvlText w:val="%9)"/>
      <w:lvlJc w:val="left"/>
      <w:pPr>
        <w:ind w:left="1020" w:hanging="360"/>
      </w:pPr>
    </w:lvl>
  </w:abstractNum>
  <w:abstractNum w:abstractNumId="1"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6905997"/>
    <w:multiLevelType w:val="hybridMultilevel"/>
    <w:tmpl w:val="7DF6A844"/>
    <w:lvl w:ilvl="0" w:tplc="B2E8230C">
      <w:start w:val="1"/>
      <w:numFmt w:val="decimal"/>
      <w:lvlText w:val="%1)"/>
      <w:lvlJc w:val="left"/>
      <w:pPr>
        <w:ind w:left="1020" w:hanging="360"/>
      </w:pPr>
    </w:lvl>
    <w:lvl w:ilvl="1" w:tplc="D72A199A">
      <w:start w:val="1"/>
      <w:numFmt w:val="decimal"/>
      <w:lvlText w:val="%2)"/>
      <w:lvlJc w:val="left"/>
      <w:pPr>
        <w:ind w:left="1020" w:hanging="360"/>
      </w:pPr>
    </w:lvl>
    <w:lvl w:ilvl="2" w:tplc="80829EFC">
      <w:start w:val="1"/>
      <w:numFmt w:val="decimal"/>
      <w:lvlText w:val="%3)"/>
      <w:lvlJc w:val="left"/>
      <w:pPr>
        <w:ind w:left="1020" w:hanging="360"/>
      </w:pPr>
    </w:lvl>
    <w:lvl w:ilvl="3" w:tplc="BC524552">
      <w:start w:val="1"/>
      <w:numFmt w:val="decimal"/>
      <w:lvlText w:val="%4)"/>
      <w:lvlJc w:val="left"/>
      <w:pPr>
        <w:ind w:left="1020" w:hanging="360"/>
      </w:pPr>
    </w:lvl>
    <w:lvl w:ilvl="4" w:tplc="ADA4D80E">
      <w:start w:val="1"/>
      <w:numFmt w:val="decimal"/>
      <w:lvlText w:val="%5)"/>
      <w:lvlJc w:val="left"/>
      <w:pPr>
        <w:ind w:left="1020" w:hanging="360"/>
      </w:pPr>
    </w:lvl>
    <w:lvl w:ilvl="5" w:tplc="4D623C38">
      <w:start w:val="1"/>
      <w:numFmt w:val="decimal"/>
      <w:lvlText w:val="%6)"/>
      <w:lvlJc w:val="left"/>
      <w:pPr>
        <w:ind w:left="1020" w:hanging="360"/>
      </w:pPr>
    </w:lvl>
    <w:lvl w:ilvl="6" w:tplc="A6B87712">
      <w:start w:val="1"/>
      <w:numFmt w:val="decimal"/>
      <w:lvlText w:val="%7)"/>
      <w:lvlJc w:val="left"/>
      <w:pPr>
        <w:ind w:left="1020" w:hanging="360"/>
      </w:pPr>
    </w:lvl>
    <w:lvl w:ilvl="7" w:tplc="4EC09E4E">
      <w:start w:val="1"/>
      <w:numFmt w:val="decimal"/>
      <w:lvlText w:val="%8)"/>
      <w:lvlJc w:val="left"/>
      <w:pPr>
        <w:ind w:left="1020" w:hanging="360"/>
      </w:pPr>
    </w:lvl>
    <w:lvl w:ilvl="8" w:tplc="BDA61D74">
      <w:start w:val="1"/>
      <w:numFmt w:val="decimal"/>
      <w:lvlText w:val="%9)"/>
      <w:lvlJc w:val="left"/>
      <w:pPr>
        <w:ind w:left="1020" w:hanging="360"/>
      </w:pPr>
    </w:lvl>
  </w:abstractNum>
  <w:abstractNum w:abstractNumId="3"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1C7109"/>
    <w:multiLevelType w:val="multilevel"/>
    <w:tmpl w:val="5A3C3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4A51D4"/>
    <w:multiLevelType w:val="hybridMultilevel"/>
    <w:tmpl w:val="E8C42386"/>
    <w:lvl w:ilvl="0" w:tplc="4FACF1F0">
      <w:start w:val="1"/>
      <w:numFmt w:val="decimal"/>
      <w:lvlText w:val="%1)"/>
      <w:lvlJc w:val="left"/>
      <w:pPr>
        <w:ind w:left="1020" w:hanging="360"/>
      </w:pPr>
    </w:lvl>
    <w:lvl w:ilvl="1" w:tplc="3C760B98">
      <w:start w:val="1"/>
      <w:numFmt w:val="decimal"/>
      <w:lvlText w:val="%2)"/>
      <w:lvlJc w:val="left"/>
      <w:pPr>
        <w:ind w:left="1020" w:hanging="360"/>
      </w:pPr>
    </w:lvl>
    <w:lvl w:ilvl="2" w:tplc="25C8F6C8">
      <w:start w:val="1"/>
      <w:numFmt w:val="decimal"/>
      <w:lvlText w:val="%3)"/>
      <w:lvlJc w:val="left"/>
      <w:pPr>
        <w:ind w:left="1020" w:hanging="360"/>
      </w:pPr>
    </w:lvl>
    <w:lvl w:ilvl="3" w:tplc="F9EC5906">
      <w:start w:val="1"/>
      <w:numFmt w:val="decimal"/>
      <w:lvlText w:val="%4)"/>
      <w:lvlJc w:val="left"/>
      <w:pPr>
        <w:ind w:left="1020" w:hanging="360"/>
      </w:pPr>
    </w:lvl>
    <w:lvl w:ilvl="4" w:tplc="B298F62C">
      <w:start w:val="1"/>
      <w:numFmt w:val="decimal"/>
      <w:lvlText w:val="%5)"/>
      <w:lvlJc w:val="left"/>
      <w:pPr>
        <w:ind w:left="1020" w:hanging="360"/>
      </w:pPr>
    </w:lvl>
    <w:lvl w:ilvl="5" w:tplc="A08CA8F8">
      <w:start w:val="1"/>
      <w:numFmt w:val="decimal"/>
      <w:lvlText w:val="%6)"/>
      <w:lvlJc w:val="left"/>
      <w:pPr>
        <w:ind w:left="1020" w:hanging="360"/>
      </w:pPr>
    </w:lvl>
    <w:lvl w:ilvl="6" w:tplc="B2B2CDF2">
      <w:start w:val="1"/>
      <w:numFmt w:val="decimal"/>
      <w:lvlText w:val="%7)"/>
      <w:lvlJc w:val="left"/>
      <w:pPr>
        <w:ind w:left="1020" w:hanging="360"/>
      </w:pPr>
    </w:lvl>
    <w:lvl w:ilvl="7" w:tplc="3A60F9E2">
      <w:start w:val="1"/>
      <w:numFmt w:val="decimal"/>
      <w:lvlText w:val="%8)"/>
      <w:lvlJc w:val="left"/>
      <w:pPr>
        <w:ind w:left="1020" w:hanging="360"/>
      </w:pPr>
    </w:lvl>
    <w:lvl w:ilvl="8" w:tplc="E6E80AF8">
      <w:start w:val="1"/>
      <w:numFmt w:val="decimal"/>
      <w:lvlText w:val="%9)"/>
      <w:lvlJc w:val="left"/>
      <w:pPr>
        <w:ind w:left="1020" w:hanging="360"/>
      </w:pPr>
    </w:lvl>
  </w:abstractNum>
  <w:abstractNum w:abstractNumId="6" w15:restartNumberingAfterBreak="0">
    <w:nsid w:val="32A072FA"/>
    <w:multiLevelType w:val="hybridMultilevel"/>
    <w:tmpl w:val="6C0CA3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F846A73"/>
    <w:multiLevelType w:val="hybridMultilevel"/>
    <w:tmpl w:val="CE10E7F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5871EB3"/>
    <w:multiLevelType w:val="hybridMultilevel"/>
    <w:tmpl w:val="F17CDD1E"/>
    <w:lvl w:ilvl="0" w:tplc="318E83A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772224F"/>
    <w:multiLevelType w:val="multilevel"/>
    <w:tmpl w:val="D1B8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8505B4"/>
    <w:multiLevelType w:val="hybridMultilevel"/>
    <w:tmpl w:val="8C8EB5C6"/>
    <w:lvl w:ilvl="0" w:tplc="2EB66E86">
      <w:start w:val="8"/>
      <w:numFmt w:val="bullet"/>
      <w:lvlText w:val="-"/>
      <w:lvlJc w:val="left"/>
      <w:pPr>
        <w:ind w:left="1080" w:hanging="360"/>
      </w:pPr>
      <w:rPr>
        <w:rFonts w:ascii="Calibri Light" w:eastAsiaTheme="minorHAnsi" w:hAnsi="Calibri Light" w:cs="Calibri Light"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494E04F2"/>
    <w:multiLevelType w:val="multilevel"/>
    <w:tmpl w:val="570CC336"/>
    <w:lvl w:ilvl="0">
      <w:start w:val="1"/>
      <w:numFmt w:val="decimal"/>
      <w:pStyle w:val="Kop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13" w15:restartNumberingAfterBreak="0">
    <w:nsid w:val="4A294B46"/>
    <w:multiLevelType w:val="hybridMultilevel"/>
    <w:tmpl w:val="72CC5AC4"/>
    <w:lvl w:ilvl="0" w:tplc="8286BF62">
      <w:start w:val="1"/>
      <w:numFmt w:val="lowerLetter"/>
      <w:lvlText w:val="%1)"/>
      <w:lvlJc w:val="left"/>
      <w:pPr>
        <w:ind w:left="360" w:hanging="360"/>
      </w:pPr>
      <w:rPr>
        <w:i/>
        <w:iCs/>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FE364F6"/>
    <w:multiLevelType w:val="hybridMultilevel"/>
    <w:tmpl w:val="DFD46E2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E57484A"/>
    <w:multiLevelType w:val="hybridMultilevel"/>
    <w:tmpl w:val="607E2258"/>
    <w:lvl w:ilvl="0" w:tplc="428C461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F6B2F33"/>
    <w:multiLevelType w:val="hybridMultilevel"/>
    <w:tmpl w:val="3EDE4500"/>
    <w:lvl w:ilvl="0" w:tplc="FFFFFFFF">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70B63826"/>
    <w:multiLevelType w:val="hybridMultilevel"/>
    <w:tmpl w:val="1356199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9E4606B"/>
    <w:multiLevelType w:val="hybridMultilevel"/>
    <w:tmpl w:val="A35ECF88"/>
    <w:lvl w:ilvl="0" w:tplc="042C62E6">
      <w:numFmt w:val="bullet"/>
      <w:lvlText w:val="-"/>
      <w:lvlJc w:val="left"/>
      <w:pPr>
        <w:ind w:left="720" w:hanging="360"/>
      </w:pPr>
      <w:rPr>
        <w:rFonts w:ascii="Verdana" w:eastAsia="Calibri" w:hAnsi="Verdana" w:cs="Arial" w:hint="default"/>
        <w:color w:val="2E74B5"/>
        <w:sz w:val="2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881097905">
    <w:abstractNumId w:val="12"/>
  </w:num>
  <w:num w:numId="2" w16cid:durableId="1583291793">
    <w:abstractNumId w:val="3"/>
  </w:num>
  <w:num w:numId="3" w16cid:durableId="1033580426">
    <w:abstractNumId w:val="18"/>
  </w:num>
  <w:num w:numId="4" w16cid:durableId="1186560508">
    <w:abstractNumId w:val="13"/>
  </w:num>
  <w:num w:numId="5" w16cid:durableId="2088796078">
    <w:abstractNumId w:val="15"/>
  </w:num>
  <w:num w:numId="6" w16cid:durableId="65806843">
    <w:abstractNumId w:val="7"/>
  </w:num>
  <w:num w:numId="7" w16cid:durableId="1447313666">
    <w:abstractNumId w:val="6"/>
  </w:num>
  <w:num w:numId="8" w16cid:durableId="553469719">
    <w:abstractNumId w:val="16"/>
  </w:num>
  <w:num w:numId="9" w16cid:durableId="181405752">
    <w:abstractNumId w:val="8"/>
  </w:num>
  <w:num w:numId="10" w16cid:durableId="1781148135">
    <w:abstractNumId w:val="1"/>
  </w:num>
  <w:num w:numId="11" w16cid:durableId="1021474648">
    <w:abstractNumId w:val="14"/>
  </w:num>
  <w:num w:numId="12" w16cid:durableId="81537750">
    <w:abstractNumId w:val="17"/>
  </w:num>
  <w:num w:numId="13" w16cid:durableId="615598830">
    <w:abstractNumId w:val="3"/>
  </w:num>
  <w:num w:numId="14" w16cid:durableId="218637839">
    <w:abstractNumId w:val="3"/>
  </w:num>
  <w:num w:numId="15" w16cid:durableId="671835782">
    <w:abstractNumId w:val="10"/>
  </w:num>
  <w:num w:numId="16" w16cid:durableId="1039089567">
    <w:abstractNumId w:val="4"/>
  </w:num>
  <w:num w:numId="17" w16cid:durableId="583954728">
    <w:abstractNumId w:val="2"/>
  </w:num>
  <w:num w:numId="18" w16cid:durableId="662659378">
    <w:abstractNumId w:val="0"/>
  </w:num>
  <w:num w:numId="19" w16cid:durableId="316031597">
    <w:abstractNumId w:val="5"/>
  </w:num>
  <w:num w:numId="20" w16cid:durableId="738480791">
    <w:abstractNumId w:val="11"/>
  </w:num>
  <w:num w:numId="21" w16cid:durableId="1325357706">
    <w:abstractNumId w:val="19"/>
  </w:num>
  <w:num w:numId="22" w16cid:durableId="1487866213">
    <w:abstractNumId w:val="9"/>
  </w:num>
  <w:num w:numId="23" w16cid:durableId="13916857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2939"/>
    <w:rsid w:val="000038CD"/>
    <w:rsid w:val="000069EB"/>
    <w:rsid w:val="00007492"/>
    <w:rsid w:val="000115BC"/>
    <w:rsid w:val="00016D97"/>
    <w:rsid w:val="000213D0"/>
    <w:rsid w:val="00021406"/>
    <w:rsid w:val="00021864"/>
    <w:rsid w:val="00023028"/>
    <w:rsid w:val="000250E9"/>
    <w:rsid w:val="000256E2"/>
    <w:rsid w:val="000311B3"/>
    <w:rsid w:val="00031C61"/>
    <w:rsid w:val="0004063F"/>
    <w:rsid w:val="00041294"/>
    <w:rsid w:val="00052F1F"/>
    <w:rsid w:val="0005427D"/>
    <w:rsid w:val="00055002"/>
    <w:rsid w:val="00055A39"/>
    <w:rsid w:val="0005716C"/>
    <w:rsid w:val="00060A64"/>
    <w:rsid w:val="00061CFE"/>
    <w:rsid w:val="0007247E"/>
    <w:rsid w:val="00072BDD"/>
    <w:rsid w:val="00074444"/>
    <w:rsid w:val="000749A3"/>
    <w:rsid w:val="00076EDE"/>
    <w:rsid w:val="00076FB9"/>
    <w:rsid w:val="00077097"/>
    <w:rsid w:val="0008113E"/>
    <w:rsid w:val="00081F83"/>
    <w:rsid w:val="00082FDA"/>
    <w:rsid w:val="00087F7F"/>
    <w:rsid w:val="000A00D6"/>
    <w:rsid w:val="000A2C5C"/>
    <w:rsid w:val="000A39A4"/>
    <w:rsid w:val="000B3C07"/>
    <w:rsid w:val="000B66F2"/>
    <w:rsid w:val="000C3720"/>
    <w:rsid w:val="000C4244"/>
    <w:rsid w:val="000D269C"/>
    <w:rsid w:val="000D4EC2"/>
    <w:rsid w:val="000D7916"/>
    <w:rsid w:val="000E1F75"/>
    <w:rsid w:val="000E3048"/>
    <w:rsid w:val="000E529A"/>
    <w:rsid w:val="000F1C5B"/>
    <w:rsid w:val="000F23A3"/>
    <w:rsid w:val="001118F5"/>
    <w:rsid w:val="001212D3"/>
    <w:rsid w:val="00124724"/>
    <w:rsid w:val="00125D69"/>
    <w:rsid w:val="00127EB6"/>
    <w:rsid w:val="00134B29"/>
    <w:rsid w:val="00140494"/>
    <w:rsid w:val="00142152"/>
    <w:rsid w:val="00155E28"/>
    <w:rsid w:val="00162195"/>
    <w:rsid w:val="00172364"/>
    <w:rsid w:val="00180110"/>
    <w:rsid w:val="0018227F"/>
    <w:rsid w:val="00182376"/>
    <w:rsid w:val="00192276"/>
    <w:rsid w:val="00195C9D"/>
    <w:rsid w:val="001A63AE"/>
    <w:rsid w:val="001C193A"/>
    <w:rsid w:val="001D515A"/>
    <w:rsid w:val="001D76DE"/>
    <w:rsid w:val="001E5275"/>
    <w:rsid w:val="001E7161"/>
    <w:rsid w:val="001F068B"/>
    <w:rsid w:val="001F2BD6"/>
    <w:rsid w:val="001F3A17"/>
    <w:rsid w:val="001F4488"/>
    <w:rsid w:val="001F7884"/>
    <w:rsid w:val="00207785"/>
    <w:rsid w:val="00210400"/>
    <w:rsid w:val="00214630"/>
    <w:rsid w:val="0021593A"/>
    <w:rsid w:val="00223C0B"/>
    <w:rsid w:val="00227918"/>
    <w:rsid w:val="002307A0"/>
    <w:rsid w:val="002370E5"/>
    <w:rsid w:val="00237D41"/>
    <w:rsid w:val="00243101"/>
    <w:rsid w:val="00243B0A"/>
    <w:rsid w:val="002450EA"/>
    <w:rsid w:val="00245697"/>
    <w:rsid w:val="00250B2E"/>
    <w:rsid w:val="00257561"/>
    <w:rsid w:val="00273AB1"/>
    <w:rsid w:val="00277765"/>
    <w:rsid w:val="00280F3A"/>
    <w:rsid w:val="00284FE2"/>
    <w:rsid w:val="0028660D"/>
    <w:rsid w:val="002A71CD"/>
    <w:rsid w:val="002B0181"/>
    <w:rsid w:val="002B76EC"/>
    <w:rsid w:val="002B7EA0"/>
    <w:rsid w:val="002C0094"/>
    <w:rsid w:val="002C3954"/>
    <w:rsid w:val="002C3D09"/>
    <w:rsid w:val="002C5205"/>
    <w:rsid w:val="002D0844"/>
    <w:rsid w:val="002D4486"/>
    <w:rsid w:val="002D55C6"/>
    <w:rsid w:val="002E5174"/>
    <w:rsid w:val="002E7B73"/>
    <w:rsid w:val="002F2E18"/>
    <w:rsid w:val="002F38E5"/>
    <w:rsid w:val="002F3B1B"/>
    <w:rsid w:val="00306043"/>
    <w:rsid w:val="003115CC"/>
    <w:rsid w:val="00313255"/>
    <w:rsid w:val="0031555A"/>
    <w:rsid w:val="00320A0E"/>
    <w:rsid w:val="00326709"/>
    <w:rsid w:val="00327A54"/>
    <w:rsid w:val="00327F22"/>
    <w:rsid w:val="00330FE7"/>
    <w:rsid w:val="0033357F"/>
    <w:rsid w:val="00333707"/>
    <w:rsid w:val="0033489A"/>
    <w:rsid w:val="003373EB"/>
    <w:rsid w:val="00340542"/>
    <w:rsid w:val="00347B6F"/>
    <w:rsid w:val="00350292"/>
    <w:rsid w:val="003714E1"/>
    <w:rsid w:val="00372EB9"/>
    <w:rsid w:val="0037596E"/>
    <w:rsid w:val="00380F26"/>
    <w:rsid w:val="00380F5D"/>
    <w:rsid w:val="00381EE2"/>
    <w:rsid w:val="003936B2"/>
    <w:rsid w:val="003A6B6E"/>
    <w:rsid w:val="003C6740"/>
    <w:rsid w:val="003D1E39"/>
    <w:rsid w:val="003D35DA"/>
    <w:rsid w:val="003E2641"/>
    <w:rsid w:val="003F1136"/>
    <w:rsid w:val="003F5548"/>
    <w:rsid w:val="00402137"/>
    <w:rsid w:val="00452ED8"/>
    <w:rsid w:val="0046023A"/>
    <w:rsid w:val="00462D62"/>
    <w:rsid w:val="00464AFF"/>
    <w:rsid w:val="0046688D"/>
    <w:rsid w:val="00466931"/>
    <w:rsid w:val="00483C06"/>
    <w:rsid w:val="00495752"/>
    <w:rsid w:val="00496102"/>
    <w:rsid w:val="004A5CB5"/>
    <w:rsid w:val="004A6573"/>
    <w:rsid w:val="004B2787"/>
    <w:rsid w:val="004D6FE6"/>
    <w:rsid w:val="004E1A5D"/>
    <w:rsid w:val="004F6B92"/>
    <w:rsid w:val="00502545"/>
    <w:rsid w:val="0050396B"/>
    <w:rsid w:val="00514FCE"/>
    <w:rsid w:val="005235A1"/>
    <w:rsid w:val="00524BA9"/>
    <w:rsid w:val="00526F11"/>
    <w:rsid w:val="00527EED"/>
    <w:rsid w:val="0053005E"/>
    <w:rsid w:val="0053561C"/>
    <w:rsid w:val="00543E94"/>
    <w:rsid w:val="00560B0D"/>
    <w:rsid w:val="00563002"/>
    <w:rsid w:val="0057336A"/>
    <w:rsid w:val="005818DA"/>
    <w:rsid w:val="00591F7C"/>
    <w:rsid w:val="00596BCC"/>
    <w:rsid w:val="005A5E0B"/>
    <w:rsid w:val="005C1394"/>
    <w:rsid w:val="005C2ABB"/>
    <w:rsid w:val="005C6340"/>
    <w:rsid w:val="005D4DB0"/>
    <w:rsid w:val="005D66F1"/>
    <w:rsid w:val="005E0B7A"/>
    <w:rsid w:val="005E3A35"/>
    <w:rsid w:val="005E3CCE"/>
    <w:rsid w:val="005E56B2"/>
    <w:rsid w:val="005F7041"/>
    <w:rsid w:val="0060183C"/>
    <w:rsid w:val="0060290D"/>
    <w:rsid w:val="00602A23"/>
    <w:rsid w:val="00603776"/>
    <w:rsid w:val="00605271"/>
    <w:rsid w:val="00613AE1"/>
    <w:rsid w:val="00614474"/>
    <w:rsid w:val="00622B17"/>
    <w:rsid w:val="0062417B"/>
    <w:rsid w:val="00635417"/>
    <w:rsid w:val="00636582"/>
    <w:rsid w:val="0064287C"/>
    <w:rsid w:val="006439B2"/>
    <w:rsid w:val="006478C4"/>
    <w:rsid w:val="0064793B"/>
    <w:rsid w:val="00656F92"/>
    <w:rsid w:val="006619E4"/>
    <w:rsid w:val="00666AD2"/>
    <w:rsid w:val="00670582"/>
    <w:rsid w:val="00671408"/>
    <w:rsid w:val="00671A44"/>
    <w:rsid w:val="00681E9D"/>
    <w:rsid w:val="0069026F"/>
    <w:rsid w:val="00692037"/>
    <w:rsid w:val="00693647"/>
    <w:rsid w:val="006A2FA3"/>
    <w:rsid w:val="006A55F3"/>
    <w:rsid w:val="006A59AC"/>
    <w:rsid w:val="006B26E5"/>
    <w:rsid w:val="006C185D"/>
    <w:rsid w:val="006C4AA5"/>
    <w:rsid w:val="006D1123"/>
    <w:rsid w:val="006D4014"/>
    <w:rsid w:val="006D4245"/>
    <w:rsid w:val="006D5C74"/>
    <w:rsid w:val="006D6812"/>
    <w:rsid w:val="006E4B4C"/>
    <w:rsid w:val="006E5C7A"/>
    <w:rsid w:val="00700686"/>
    <w:rsid w:val="00706A71"/>
    <w:rsid w:val="007072E0"/>
    <w:rsid w:val="00707C49"/>
    <w:rsid w:val="0071092B"/>
    <w:rsid w:val="007265F2"/>
    <w:rsid w:val="007268B0"/>
    <w:rsid w:val="00735078"/>
    <w:rsid w:val="00735FCC"/>
    <w:rsid w:val="007418AE"/>
    <w:rsid w:val="00742EA0"/>
    <w:rsid w:val="007441B5"/>
    <w:rsid w:val="0075276C"/>
    <w:rsid w:val="00754304"/>
    <w:rsid w:val="007610A2"/>
    <w:rsid w:val="0076776C"/>
    <w:rsid w:val="00770A56"/>
    <w:rsid w:val="0077787E"/>
    <w:rsid w:val="00781804"/>
    <w:rsid w:val="00781AE2"/>
    <w:rsid w:val="007A57E1"/>
    <w:rsid w:val="007B5B02"/>
    <w:rsid w:val="007B66D0"/>
    <w:rsid w:val="007B7D36"/>
    <w:rsid w:val="007C07E4"/>
    <w:rsid w:val="007C4CEE"/>
    <w:rsid w:val="007D4ECB"/>
    <w:rsid w:val="007E0CD8"/>
    <w:rsid w:val="007F19D3"/>
    <w:rsid w:val="0080009C"/>
    <w:rsid w:val="008029FE"/>
    <w:rsid w:val="00814D40"/>
    <w:rsid w:val="0081694C"/>
    <w:rsid w:val="008326FE"/>
    <w:rsid w:val="00832EDC"/>
    <w:rsid w:val="00835725"/>
    <w:rsid w:val="00835865"/>
    <w:rsid w:val="00837661"/>
    <w:rsid w:val="00845645"/>
    <w:rsid w:val="008471EB"/>
    <w:rsid w:val="00847CB2"/>
    <w:rsid w:val="008501C5"/>
    <w:rsid w:val="008626B4"/>
    <w:rsid w:val="0086454E"/>
    <w:rsid w:val="00865970"/>
    <w:rsid w:val="0087599D"/>
    <w:rsid w:val="00880CBF"/>
    <w:rsid w:val="00882249"/>
    <w:rsid w:val="008837FC"/>
    <w:rsid w:val="008860BB"/>
    <w:rsid w:val="00894854"/>
    <w:rsid w:val="008A462E"/>
    <w:rsid w:val="008B0A98"/>
    <w:rsid w:val="008B20D6"/>
    <w:rsid w:val="008B3653"/>
    <w:rsid w:val="008C1CE9"/>
    <w:rsid w:val="008C1E1C"/>
    <w:rsid w:val="008D2F03"/>
    <w:rsid w:val="008E1384"/>
    <w:rsid w:val="008E2FC7"/>
    <w:rsid w:val="008F3795"/>
    <w:rsid w:val="00901191"/>
    <w:rsid w:val="00903AE4"/>
    <w:rsid w:val="009059D6"/>
    <w:rsid w:val="009106EC"/>
    <w:rsid w:val="009137CE"/>
    <w:rsid w:val="0091664C"/>
    <w:rsid w:val="00924F95"/>
    <w:rsid w:val="00931353"/>
    <w:rsid w:val="00942BD3"/>
    <w:rsid w:val="00944AB2"/>
    <w:rsid w:val="00956C28"/>
    <w:rsid w:val="00960DF6"/>
    <w:rsid w:val="00971457"/>
    <w:rsid w:val="00990C8D"/>
    <w:rsid w:val="0099442D"/>
    <w:rsid w:val="009948A1"/>
    <w:rsid w:val="0099715D"/>
    <w:rsid w:val="009A05D7"/>
    <w:rsid w:val="009A3B1D"/>
    <w:rsid w:val="009A597A"/>
    <w:rsid w:val="009A6F82"/>
    <w:rsid w:val="009A765A"/>
    <w:rsid w:val="009B0D41"/>
    <w:rsid w:val="009B4D0D"/>
    <w:rsid w:val="009B7A93"/>
    <w:rsid w:val="009B7DC5"/>
    <w:rsid w:val="009C6827"/>
    <w:rsid w:val="009D27A2"/>
    <w:rsid w:val="009D5AB9"/>
    <w:rsid w:val="009D72BD"/>
    <w:rsid w:val="009E0A30"/>
    <w:rsid w:val="009E447C"/>
    <w:rsid w:val="009E57BB"/>
    <w:rsid w:val="00A03A16"/>
    <w:rsid w:val="00A15B58"/>
    <w:rsid w:val="00A215BD"/>
    <w:rsid w:val="00A3775C"/>
    <w:rsid w:val="00A411BC"/>
    <w:rsid w:val="00A46EDB"/>
    <w:rsid w:val="00A62AA6"/>
    <w:rsid w:val="00A71082"/>
    <w:rsid w:val="00A73111"/>
    <w:rsid w:val="00A90F29"/>
    <w:rsid w:val="00A96500"/>
    <w:rsid w:val="00AA34A7"/>
    <w:rsid w:val="00AA6A35"/>
    <w:rsid w:val="00AA7F4E"/>
    <w:rsid w:val="00AB18C6"/>
    <w:rsid w:val="00AB5324"/>
    <w:rsid w:val="00AC0BD1"/>
    <w:rsid w:val="00AC38CD"/>
    <w:rsid w:val="00AC44EC"/>
    <w:rsid w:val="00AC79E4"/>
    <w:rsid w:val="00AD0DBD"/>
    <w:rsid w:val="00AD16B4"/>
    <w:rsid w:val="00AD1CD7"/>
    <w:rsid w:val="00AD68F3"/>
    <w:rsid w:val="00AE735B"/>
    <w:rsid w:val="00AF24A7"/>
    <w:rsid w:val="00AF5A15"/>
    <w:rsid w:val="00B03D03"/>
    <w:rsid w:val="00B03DC5"/>
    <w:rsid w:val="00B05B0C"/>
    <w:rsid w:val="00B07270"/>
    <w:rsid w:val="00B1378B"/>
    <w:rsid w:val="00B14D7A"/>
    <w:rsid w:val="00B21E1E"/>
    <w:rsid w:val="00B27A3E"/>
    <w:rsid w:val="00B30311"/>
    <w:rsid w:val="00B3078E"/>
    <w:rsid w:val="00B33B77"/>
    <w:rsid w:val="00B34798"/>
    <w:rsid w:val="00B36C88"/>
    <w:rsid w:val="00B41B53"/>
    <w:rsid w:val="00B46E70"/>
    <w:rsid w:val="00B538E7"/>
    <w:rsid w:val="00B54C69"/>
    <w:rsid w:val="00B561A4"/>
    <w:rsid w:val="00B563F5"/>
    <w:rsid w:val="00B56ABC"/>
    <w:rsid w:val="00B63AF5"/>
    <w:rsid w:val="00B8580A"/>
    <w:rsid w:val="00B873B1"/>
    <w:rsid w:val="00B91C74"/>
    <w:rsid w:val="00B9558C"/>
    <w:rsid w:val="00BA1C4E"/>
    <w:rsid w:val="00BA38B3"/>
    <w:rsid w:val="00BA46AB"/>
    <w:rsid w:val="00BA4E28"/>
    <w:rsid w:val="00BA4E98"/>
    <w:rsid w:val="00BA6B57"/>
    <w:rsid w:val="00BB03A7"/>
    <w:rsid w:val="00BB190B"/>
    <w:rsid w:val="00BC2368"/>
    <w:rsid w:val="00BC3894"/>
    <w:rsid w:val="00BC7846"/>
    <w:rsid w:val="00BC7A92"/>
    <w:rsid w:val="00BE109E"/>
    <w:rsid w:val="00BE290B"/>
    <w:rsid w:val="00BE3B5D"/>
    <w:rsid w:val="00BE51DD"/>
    <w:rsid w:val="00BE7671"/>
    <w:rsid w:val="00BF187A"/>
    <w:rsid w:val="00BF5DCC"/>
    <w:rsid w:val="00C03422"/>
    <w:rsid w:val="00C155CF"/>
    <w:rsid w:val="00C21E03"/>
    <w:rsid w:val="00C2223D"/>
    <w:rsid w:val="00C22460"/>
    <w:rsid w:val="00C22EA3"/>
    <w:rsid w:val="00C244D3"/>
    <w:rsid w:val="00C31DFE"/>
    <w:rsid w:val="00C32079"/>
    <w:rsid w:val="00C357A3"/>
    <w:rsid w:val="00C37BEA"/>
    <w:rsid w:val="00C4128E"/>
    <w:rsid w:val="00C43865"/>
    <w:rsid w:val="00C50324"/>
    <w:rsid w:val="00C5315B"/>
    <w:rsid w:val="00C57409"/>
    <w:rsid w:val="00C60DBF"/>
    <w:rsid w:val="00C64515"/>
    <w:rsid w:val="00C7128D"/>
    <w:rsid w:val="00C76689"/>
    <w:rsid w:val="00C85038"/>
    <w:rsid w:val="00C85F76"/>
    <w:rsid w:val="00C96CD7"/>
    <w:rsid w:val="00CA089B"/>
    <w:rsid w:val="00CA0CA4"/>
    <w:rsid w:val="00CA5994"/>
    <w:rsid w:val="00CA72C1"/>
    <w:rsid w:val="00CB3C1A"/>
    <w:rsid w:val="00CB42BA"/>
    <w:rsid w:val="00CB7291"/>
    <w:rsid w:val="00CB7FF8"/>
    <w:rsid w:val="00CC05F5"/>
    <w:rsid w:val="00CC105B"/>
    <w:rsid w:val="00CC4C72"/>
    <w:rsid w:val="00CD04F4"/>
    <w:rsid w:val="00CD0E85"/>
    <w:rsid w:val="00CD212D"/>
    <w:rsid w:val="00CD4C50"/>
    <w:rsid w:val="00CE6790"/>
    <w:rsid w:val="00CE72F7"/>
    <w:rsid w:val="00CF4814"/>
    <w:rsid w:val="00CF6611"/>
    <w:rsid w:val="00CF70BB"/>
    <w:rsid w:val="00D14F64"/>
    <w:rsid w:val="00D212B0"/>
    <w:rsid w:val="00D218BC"/>
    <w:rsid w:val="00D24AFC"/>
    <w:rsid w:val="00D252C1"/>
    <w:rsid w:val="00D40617"/>
    <w:rsid w:val="00D5098E"/>
    <w:rsid w:val="00D52D14"/>
    <w:rsid w:val="00D53145"/>
    <w:rsid w:val="00D55B89"/>
    <w:rsid w:val="00D768F4"/>
    <w:rsid w:val="00D85808"/>
    <w:rsid w:val="00DA1708"/>
    <w:rsid w:val="00DA19A2"/>
    <w:rsid w:val="00DA4AA4"/>
    <w:rsid w:val="00DB17C0"/>
    <w:rsid w:val="00DC03B7"/>
    <w:rsid w:val="00DC1C62"/>
    <w:rsid w:val="00DD2E8E"/>
    <w:rsid w:val="00DD7451"/>
    <w:rsid w:val="00DE60C8"/>
    <w:rsid w:val="00DE6164"/>
    <w:rsid w:val="00DF5796"/>
    <w:rsid w:val="00DF6A93"/>
    <w:rsid w:val="00E0077F"/>
    <w:rsid w:val="00E0774D"/>
    <w:rsid w:val="00E13157"/>
    <w:rsid w:val="00E14189"/>
    <w:rsid w:val="00E177C9"/>
    <w:rsid w:val="00E17AB6"/>
    <w:rsid w:val="00E22503"/>
    <w:rsid w:val="00E2529B"/>
    <w:rsid w:val="00E26089"/>
    <w:rsid w:val="00E27B2A"/>
    <w:rsid w:val="00E30F75"/>
    <w:rsid w:val="00E3509E"/>
    <w:rsid w:val="00E44ED5"/>
    <w:rsid w:val="00E539A8"/>
    <w:rsid w:val="00E5777D"/>
    <w:rsid w:val="00E61FAE"/>
    <w:rsid w:val="00E855C3"/>
    <w:rsid w:val="00E86C08"/>
    <w:rsid w:val="00E8712B"/>
    <w:rsid w:val="00E87207"/>
    <w:rsid w:val="00E91D47"/>
    <w:rsid w:val="00E97880"/>
    <w:rsid w:val="00EA027B"/>
    <w:rsid w:val="00EA02AE"/>
    <w:rsid w:val="00EA0C08"/>
    <w:rsid w:val="00EB3A2B"/>
    <w:rsid w:val="00EB777D"/>
    <w:rsid w:val="00EC186A"/>
    <w:rsid w:val="00EC6242"/>
    <w:rsid w:val="00ED3511"/>
    <w:rsid w:val="00ED5BAE"/>
    <w:rsid w:val="00EE0395"/>
    <w:rsid w:val="00EE136B"/>
    <w:rsid w:val="00EE1CB1"/>
    <w:rsid w:val="00EE2848"/>
    <w:rsid w:val="00EE300E"/>
    <w:rsid w:val="00EE4F59"/>
    <w:rsid w:val="00EF03DE"/>
    <w:rsid w:val="00EF1955"/>
    <w:rsid w:val="00EF2981"/>
    <w:rsid w:val="00F02A70"/>
    <w:rsid w:val="00F154EE"/>
    <w:rsid w:val="00F2120D"/>
    <w:rsid w:val="00F24303"/>
    <w:rsid w:val="00F26497"/>
    <w:rsid w:val="00F30C33"/>
    <w:rsid w:val="00F415DF"/>
    <w:rsid w:val="00F431C3"/>
    <w:rsid w:val="00F462CD"/>
    <w:rsid w:val="00F504DF"/>
    <w:rsid w:val="00F54064"/>
    <w:rsid w:val="00F55A1B"/>
    <w:rsid w:val="00F56DDC"/>
    <w:rsid w:val="00F67906"/>
    <w:rsid w:val="00F723E4"/>
    <w:rsid w:val="00F741C4"/>
    <w:rsid w:val="00F74E07"/>
    <w:rsid w:val="00F80A53"/>
    <w:rsid w:val="00F81131"/>
    <w:rsid w:val="00F878CF"/>
    <w:rsid w:val="00F936B2"/>
    <w:rsid w:val="00FA1531"/>
    <w:rsid w:val="00FA305C"/>
    <w:rsid w:val="00FA65F2"/>
    <w:rsid w:val="00FD3A6F"/>
    <w:rsid w:val="00FD565F"/>
    <w:rsid w:val="00FE2CBA"/>
    <w:rsid w:val="00FE5548"/>
    <w:rsid w:val="00FF7B0C"/>
    <w:rsid w:val="06251B18"/>
    <w:rsid w:val="0DB2704B"/>
    <w:rsid w:val="0DC47FA4"/>
    <w:rsid w:val="0DD6CA10"/>
    <w:rsid w:val="0F726D12"/>
    <w:rsid w:val="114E9DC7"/>
    <w:rsid w:val="1270FC01"/>
    <w:rsid w:val="12AF345A"/>
    <w:rsid w:val="14F607EB"/>
    <w:rsid w:val="178C39C8"/>
    <w:rsid w:val="17E62006"/>
    <w:rsid w:val="1A7ECE79"/>
    <w:rsid w:val="1FEAA626"/>
    <w:rsid w:val="208A93DC"/>
    <w:rsid w:val="20E22CD5"/>
    <w:rsid w:val="229D7B73"/>
    <w:rsid w:val="22E1B247"/>
    <w:rsid w:val="2724D57E"/>
    <w:rsid w:val="2826429B"/>
    <w:rsid w:val="28E652D5"/>
    <w:rsid w:val="28FEDA5B"/>
    <w:rsid w:val="29E9C938"/>
    <w:rsid w:val="2A5D2800"/>
    <w:rsid w:val="2DEDE64F"/>
    <w:rsid w:val="2ECE2DCD"/>
    <w:rsid w:val="2ED58CDE"/>
    <w:rsid w:val="340D4FFC"/>
    <w:rsid w:val="341AD4C3"/>
    <w:rsid w:val="3658664E"/>
    <w:rsid w:val="36D87F67"/>
    <w:rsid w:val="3842C431"/>
    <w:rsid w:val="3BA4E26F"/>
    <w:rsid w:val="3BE9C43C"/>
    <w:rsid w:val="3C9F95CE"/>
    <w:rsid w:val="3DAF3A14"/>
    <w:rsid w:val="3DD01C2B"/>
    <w:rsid w:val="3E0AC8AF"/>
    <w:rsid w:val="3FCD6DDC"/>
    <w:rsid w:val="40985997"/>
    <w:rsid w:val="41D4D05B"/>
    <w:rsid w:val="4259257A"/>
    <w:rsid w:val="43A4F44C"/>
    <w:rsid w:val="43A90E80"/>
    <w:rsid w:val="4587FC3A"/>
    <w:rsid w:val="46D90907"/>
    <w:rsid w:val="4DE67D5E"/>
    <w:rsid w:val="4EDB2FE4"/>
    <w:rsid w:val="5019A23F"/>
    <w:rsid w:val="50DBB6E7"/>
    <w:rsid w:val="520AB14A"/>
    <w:rsid w:val="534B8A88"/>
    <w:rsid w:val="53C2AAF1"/>
    <w:rsid w:val="5521AE57"/>
    <w:rsid w:val="560BE595"/>
    <w:rsid w:val="5FAA6C7B"/>
    <w:rsid w:val="60531098"/>
    <w:rsid w:val="6136C6A9"/>
    <w:rsid w:val="61E98424"/>
    <w:rsid w:val="62AEBF01"/>
    <w:rsid w:val="62C55709"/>
    <w:rsid w:val="6582A7CE"/>
    <w:rsid w:val="670DDE2F"/>
    <w:rsid w:val="6934CB02"/>
    <w:rsid w:val="6BE2817D"/>
    <w:rsid w:val="6C8AC9B6"/>
    <w:rsid w:val="6CF927BA"/>
    <w:rsid w:val="6DB38047"/>
    <w:rsid w:val="6F5465E6"/>
    <w:rsid w:val="713DBD69"/>
    <w:rsid w:val="74000523"/>
    <w:rsid w:val="74BAEC92"/>
    <w:rsid w:val="77D1C784"/>
    <w:rsid w:val="7DCE2E07"/>
    <w:rsid w:val="7E296B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5558A8"/>
  <w15:chartTrackingRefBased/>
  <w15:docId w15:val="{CE074254-9797-4969-8B58-408E95E4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line="280" w:lineRule="atLeast"/>
    </w:pPr>
    <w:rPr>
      <w:sz w:val="22"/>
      <w:lang w:eastAsia="zh-CN"/>
    </w:rPr>
  </w:style>
  <w:style w:type="paragraph" w:styleId="Kop1">
    <w:name w:val="heading 1"/>
    <w:basedOn w:val="Standaard"/>
    <w:next w:val="Standaard"/>
    <w:qFormat/>
    <w:pPr>
      <w:keepNext/>
      <w:numPr>
        <w:numId w:val="1"/>
      </w:numPr>
      <w:tabs>
        <w:tab w:val="left" w:pos="0"/>
      </w:tabs>
      <w:spacing w:before="240" w:after="60"/>
      <w:outlineLvl w:val="0"/>
    </w:pPr>
    <w:rPr>
      <w:b/>
      <w:kern w:val="28"/>
      <w:sz w:val="27"/>
    </w:rPr>
  </w:style>
  <w:style w:type="paragraph" w:styleId="Kop3">
    <w:name w:val="heading 3"/>
    <w:basedOn w:val="Standaard"/>
    <w:next w:val="Standaard"/>
    <w:link w:val="Kop3Char"/>
    <w:semiHidden/>
    <w:unhideWhenUsed/>
    <w:qFormat/>
    <w:rsid w:val="006D4014"/>
    <w:pPr>
      <w:keepNext/>
      <w:keepLines/>
      <w:spacing w:before="40"/>
      <w:outlineLvl w:val="2"/>
    </w:pPr>
    <w:rPr>
      <w:rFonts w:asciiTheme="majorHAnsi" w:eastAsiaTheme="majorEastAsia" w:hAnsiTheme="majorHAnsi" w:cstheme="majorBidi"/>
      <w:color w:val="0A2F4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preekpunten">
    <w:name w:val="Spreekpunten"/>
    <w:basedOn w:val="Standaard"/>
    <w:pPr>
      <w:numPr>
        <w:numId w:val="2"/>
      </w:numPr>
      <w:tabs>
        <w:tab w:val="clear" w:pos="717"/>
        <w:tab w:val="num" w:pos="360"/>
      </w:tabs>
      <w:spacing w:line="360" w:lineRule="auto"/>
      <w:ind w:left="0" w:firstLine="0"/>
    </w:pPr>
    <w:rPr>
      <w:bCs/>
      <w:sz w:val="28"/>
      <w:lang w:val="en-GB" w:eastAsia="nl-NL"/>
    </w:rPr>
  </w:style>
  <w:style w:type="paragraph" w:styleId="Koptekst">
    <w:name w:val="header"/>
    <w:basedOn w:val="Standaard"/>
    <w:link w:val="KoptekstChar"/>
    <w:pPr>
      <w:tabs>
        <w:tab w:val="center" w:pos="4536"/>
        <w:tab w:val="right" w:pos="9072"/>
      </w:tabs>
    </w:pPr>
  </w:style>
  <w:style w:type="character" w:customStyle="1" w:styleId="KoptekstChar">
    <w:name w:val="Koptekst Char"/>
    <w:link w:val="Koptekst"/>
    <w:rPr>
      <w:sz w:val="22"/>
      <w:lang w:val="nl-NL" w:eastAsia="zh-CN" w:bidi="ar-SA"/>
    </w:rPr>
  </w:style>
  <w:style w:type="paragraph" w:styleId="Voetnoottekst">
    <w:name w:val="footnote text"/>
    <w:basedOn w:val="Standaard"/>
    <w:link w:val="VoetnoottekstChar"/>
    <w:semiHidden/>
    <w:pPr>
      <w:spacing w:line="240" w:lineRule="atLeast"/>
      <w:ind w:left="1298" w:hanging="1298"/>
    </w:pPr>
    <w:rPr>
      <w:sz w:val="16"/>
    </w:rPr>
  </w:style>
  <w:style w:type="character" w:styleId="Voetnootmarkering">
    <w:name w:val="footnote reference"/>
    <w:uiPriority w:val="99"/>
    <w:semiHidden/>
    <w:rPr>
      <w:vertAlign w:val="superscript"/>
    </w:rPr>
  </w:style>
  <w:style w:type="paragraph" w:styleId="Plattetekst">
    <w:name w:val="Body Text"/>
    <w:basedOn w:val="Standaard"/>
    <w:pPr>
      <w:spacing w:line="280" w:lineRule="exact"/>
      <w:jc w:val="both"/>
    </w:pPr>
    <w:rPr>
      <w:snapToGrid w:val="0"/>
      <w:lang w:val="en-US" w:eastAsia="en-US"/>
    </w:rPr>
  </w:style>
  <w:style w:type="paragraph" w:styleId="Plattetekst2">
    <w:name w:val="Body Text 2"/>
    <w:basedOn w:val="Standaard"/>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ntekst">
    <w:name w:val="Balloon Text"/>
    <w:basedOn w:val="Standaard"/>
    <w:semiHidden/>
    <w:rPr>
      <w:rFonts w:ascii="Tahoma" w:hAnsi="Tahoma" w:cs="Tahoma"/>
      <w:sz w:val="16"/>
      <w:szCs w:val="16"/>
    </w:r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character" w:styleId="Verwijzingopmerking">
    <w:name w:val="annotation reference"/>
    <w:rPr>
      <w:sz w:val="16"/>
      <w:szCs w:val="16"/>
    </w:rPr>
  </w:style>
  <w:style w:type="paragraph" w:styleId="Tekstopmerking">
    <w:name w:val="annotation text"/>
    <w:basedOn w:val="Standaard"/>
    <w:link w:val="TekstopmerkingChar"/>
    <w:rPr>
      <w:sz w:val="20"/>
    </w:rPr>
  </w:style>
  <w:style w:type="paragraph" w:styleId="Onderwerpvanopmerking">
    <w:name w:val="annotation subject"/>
    <w:basedOn w:val="Tekstopmerking"/>
    <w:next w:val="Tekstopmerking"/>
    <w:semiHidden/>
    <w:rPr>
      <w:b/>
      <w:bCs/>
    </w:rPr>
  </w:style>
  <w:style w:type="character" w:styleId="Zwaar">
    <w:name w:val="Strong"/>
    <w:uiPriority w:val="22"/>
    <w:qFormat/>
    <w:rPr>
      <w:b/>
      <w:bCs/>
    </w:rPr>
  </w:style>
  <w:style w:type="paragraph" w:styleId="Documentstructuur">
    <w:name w:val="Document Map"/>
    <w:basedOn w:val="Standaard"/>
    <w:semiHidden/>
    <w:pPr>
      <w:shd w:val="clear" w:color="auto" w:fill="000080"/>
    </w:pPr>
    <w:rPr>
      <w:rFonts w:ascii="Tahoma" w:hAnsi="Tahoma" w:cs="Tahoma"/>
      <w:sz w:val="20"/>
    </w:rPr>
  </w:style>
  <w:style w:type="character" w:styleId="GevolgdeHyperlink">
    <w:name w:val="FollowedHyperlink"/>
    <w:rPr>
      <w:color w:val="800080"/>
      <w:u w:val="single"/>
    </w:rPr>
  </w:style>
  <w:style w:type="paragraph" w:styleId="Lijstalinea">
    <w:name w:val="List Paragraph"/>
    <w:basedOn w:val="Standaard"/>
    <w:uiPriority w:val="34"/>
    <w:qFormat/>
    <w:rsid w:val="00F74E07"/>
    <w:pPr>
      <w:ind w:left="720"/>
    </w:pPr>
  </w:style>
  <w:style w:type="paragraph" w:customStyle="1" w:styleId="Default">
    <w:name w:val="Default"/>
    <w:rsid w:val="00082FDA"/>
    <w:pPr>
      <w:autoSpaceDE w:val="0"/>
      <w:autoSpaceDN w:val="0"/>
      <w:adjustRightInd w:val="0"/>
    </w:pPr>
    <w:rPr>
      <w:color w:val="000000"/>
      <w:sz w:val="24"/>
      <w:szCs w:val="24"/>
    </w:rPr>
  </w:style>
  <w:style w:type="paragraph" w:styleId="HTML-voorafopgemaakt">
    <w:name w:val="HTML Preformatted"/>
    <w:basedOn w:val="Standaard"/>
    <w:link w:val="HTML-voorafopgemaaktChar"/>
    <w:rsid w:val="00DA4AA4"/>
    <w:pPr>
      <w:spacing w:line="240" w:lineRule="auto"/>
    </w:pPr>
    <w:rPr>
      <w:rFonts w:ascii="Consolas" w:hAnsi="Consolas"/>
      <w:sz w:val="20"/>
    </w:rPr>
  </w:style>
  <w:style w:type="character" w:customStyle="1" w:styleId="HTML-voorafopgemaaktChar">
    <w:name w:val="HTML - vooraf opgemaakt Char"/>
    <w:basedOn w:val="Standaardalinea-lettertype"/>
    <w:link w:val="HTML-voorafopgemaakt"/>
    <w:rsid w:val="00DA4AA4"/>
    <w:rPr>
      <w:rFonts w:ascii="Consolas" w:hAnsi="Consolas"/>
      <w:lang w:eastAsia="zh-CN"/>
    </w:rPr>
  </w:style>
  <w:style w:type="paragraph" w:customStyle="1" w:styleId="Basis">
    <w:name w:val="Basis"/>
    <w:basedOn w:val="Standaard"/>
    <w:rsid w:val="008326FE"/>
    <w:pPr>
      <w:autoSpaceDN w:val="0"/>
      <w:spacing w:line="240" w:lineRule="auto"/>
      <w:textAlignment w:val="baseline"/>
    </w:pPr>
    <w:rPr>
      <w:rFonts w:ascii="DejaVu Sans" w:eastAsiaTheme="minorEastAsia" w:hAnsi="DejaVu Sans" w:cstheme="minorBidi"/>
      <w:kern w:val="3"/>
      <w:sz w:val="18"/>
    </w:rPr>
  </w:style>
  <w:style w:type="character" w:customStyle="1" w:styleId="VoettekstChar">
    <w:name w:val="Voettekst Char"/>
    <w:basedOn w:val="Standaardalinea-lettertype"/>
    <w:link w:val="Voettekst"/>
    <w:uiPriority w:val="99"/>
    <w:rsid w:val="000B66F2"/>
    <w:rPr>
      <w:sz w:val="22"/>
      <w:lang w:eastAsia="zh-CN"/>
    </w:rPr>
  </w:style>
  <w:style w:type="paragraph" w:styleId="Revisie">
    <w:name w:val="Revision"/>
    <w:hidden/>
    <w:uiPriority w:val="99"/>
    <w:semiHidden/>
    <w:rsid w:val="00AB18C6"/>
    <w:rPr>
      <w:sz w:val="22"/>
      <w:lang w:eastAsia="zh-CN"/>
    </w:rPr>
  </w:style>
  <w:style w:type="character" w:styleId="Onopgelostemelding">
    <w:name w:val="Unresolved Mention"/>
    <w:basedOn w:val="Standaardalinea-lettertype"/>
    <w:uiPriority w:val="99"/>
    <w:semiHidden/>
    <w:unhideWhenUsed/>
    <w:rsid w:val="00A90F29"/>
    <w:rPr>
      <w:color w:val="605E5C"/>
      <w:shd w:val="clear" w:color="auto" w:fill="E1DFDD"/>
    </w:rPr>
  </w:style>
  <w:style w:type="character" w:customStyle="1" w:styleId="Kop3Char">
    <w:name w:val="Kop 3 Char"/>
    <w:basedOn w:val="Standaardalinea-lettertype"/>
    <w:link w:val="Kop3"/>
    <w:semiHidden/>
    <w:rsid w:val="006D4014"/>
    <w:rPr>
      <w:rFonts w:asciiTheme="majorHAnsi" w:eastAsiaTheme="majorEastAsia" w:hAnsiTheme="majorHAnsi" w:cstheme="majorBidi"/>
      <w:color w:val="0A2F40" w:themeColor="accent1" w:themeShade="7F"/>
      <w:sz w:val="24"/>
      <w:szCs w:val="24"/>
      <w:lang w:eastAsia="zh-CN"/>
    </w:rPr>
  </w:style>
  <w:style w:type="paragraph" w:styleId="Normaalweb">
    <w:name w:val="Normal (Web)"/>
    <w:basedOn w:val="Standaard"/>
    <w:uiPriority w:val="99"/>
    <w:rsid w:val="0060183C"/>
    <w:rPr>
      <w:sz w:val="24"/>
      <w:szCs w:val="24"/>
    </w:rPr>
  </w:style>
  <w:style w:type="character" w:customStyle="1" w:styleId="VoetnoottekstChar">
    <w:name w:val="Voetnoottekst Char"/>
    <w:basedOn w:val="Standaardalinea-lettertype"/>
    <w:link w:val="Voetnoottekst"/>
    <w:semiHidden/>
    <w:rsid w:val="005C2ABB"/>
    <w:rPr>
      <w:sz w:val="16"/>
      <w:lang w:eastAsia="zh-CN"/>
    </w:rPr>
  </w:style>
  <w:style w:type="character" w:customStyle="1" w:styleId="TekstopmerkingChar">
    <w:name w:val="Tekst opmerking Char"/>
    <w:basedOn w:val="Standaardalinea-lettertype"/>
    <w:link w:val="Tekstopmerking"/>
    <w:rsid w:val="00835865"/>
    <w:rPr>
      <w:lang w:eastAsia="zh-CN"/>
    </w:rPr>
  </w:style>
  <w:style w:type="paragraph" w:styleId="Geenafstand">
    <w:name w:val="No Spacing"/>
    <w:uiPriority w:val="1"/>
    <w:qFormat/>
    <w:rsid w:val="00F80A53"/>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845">
      <w:bodyDiv w:val="1"/>
      <w:marLeft w:val="0"/>
      <w:marRight w:val="0"/>
      <w:marTop w:val="0"/>
      <w:marBottom w:val="0"/>
      <w:divBdr>
        <w:top w:val="none" w:sz="0" w:space="0" w:color="auto"/>
        <w:left w:val="none" w:sz="0" w:space="0" w:color="auto"/>
        <w:bottom w:val="none" w:sz="0" w:space="0" w:color="auto"/>
        <w:right w:val="none" w:sz="0" w:space="0" w:color="auto"/>
      </w:divBdr>
    </w:div>
    <w:div w:id="35352798">
      <w:bodyDiv w:val="1"/>
      <w:marLeft w:val="0"/>
      <w:marRight w:val="0"/>
      <w:marTop w:val="0"/>
      <w:marBottom w:val="0"/>
      <w:divBdr>
        <w:top w:val="none" w:sz="0" w:space="0" w:color="auto"/>
        <w:left w:val="none" w:sz="0" w:space="0" w:color="auto"/>
        <w:bottom w:val="none" w:sz="0" w:space="0" w:color="auto"/>
        <w:right w:val="none" w:sz="0" w:space="0" w:color="auto"/>
      </w:divBdr>
    </w:div>
    <w:div w:id="110634278">
      <w:bodyDiv w:val="1"/>
      <w:marLeft w:val="0"/>
      <w:marRight w:val="0"/>
      <w:marTop w:val="0"/>
      <w:marBottom w:val="0"/>
      <w:divBdr>
        <w:top w:val="none" w:sz="0" w:space="0" w:color="auto"/>
        <w:left w:val="none" w:sz="0" w:space="0" w:color="auto"/>
        <w:bottom w:val="none" w:sz="0" w:space="0" w:color="auto"/>
        <w:right w:val="none" w:sz="0" w:space="0" w:color="auto"/>
      </w:divBdr>
    </w:div>
    <w:div w:id="128130303">
      <w:bodyDiv w:val="1"/>
      <w:marLeft w:val="0"/>
      <w:marRight w:val="0"/>
      <w:marTop w:val="0"/>
      <w:marBottom w:val="0"/>
      <w:divBdr>
        <w:top w:val="none" w:sz="0" w:space="0" w:color="auto"/>
        <w:left w:val="none" w:sz="0" w:space="0" w:color="auto"/>
        <w:bottom w:val="none" w:sz="0" w:space="0" w:color="auto"/>
        <w:right w:val="none" w:sz="0" w:space="0" w:color="auto"/>
      </w:divBdr>
    </w:div>
    <w:div w:id="153760733">
      <w:bodyDiv w:val="1"/>
      <w:marLeft w:val="0"/>
      <w:marRight w:val="0"/>
      <w:marTop w:val="0"/>
      <w:marBottom w:val="0"/>
      <w:divBdr>
        <w:top w:val="none" w:sz="0" w:space="0" w:color="auto"/>
        <w:left w:val="none" w:sz="0" w:space="0" w:color="auto"/>
        <w:bottom w:val="none" w:sz="0" w:space="0" w:color="auto"/>
        <w:right w:val="none" w:sz="0" w:space="0" w:color="auto"/>
      </w:divBdr>
    </w:div>
    <w:div w:id="170685631">
      <w:bodyDiv w:val="1"/>
      <w:marLeft w:val="0"/>
      <w:marRight w:val="0"/>
      <w:marTop w:val="0"/>
      <w:marBottom w:val="0"/>
      <w:divBdr>
        <w:top w:val="none" w:sz="0" w:space="0" w:color="auto"/>
        <w:left w:val="none" w:sz="0" w:space="0" w:color="auto"/>
        <w:bottom w:val="none" w:sz="0" w:space="0" w:color="auto"/>
        <w:right w:val="none" w:sz="0" w:space="0" w:color="auto"/>
      </w:divBdr>
    </w:div>
    <w:div w:id="172189782">
      <w:bodyDiv w:val="1"/>
      <w:marLeft w:val="0"/>
      <w:marRight w:val="0"/>
      <w:marTop w:val="0"/>
      <w:marBottom w:val="0"/>
      <w:divBdr>
        <w:top w:val="none" w:sz="0" w:space="0" w:color="auto"/>
        <w:left w:val="none" w:sz="0" w:space="0" w:color="auto"/>
        <w:bottom w:val="none" w:sz="0" w:space="0" w:color="auto"/>
        <w:right w:val="none" w:sz="0" w:space="0" w:color="auto"/>
      </w:divBdr>
    </w:div>
    <w:div w:id="186791721">
      <w:bodyDiv w:val="1"/>
      <w:marLeft w:val="0"/>
      <w:marRight w:val="0"/>
      <w:marTop w:val="0"/>
      <w:marBottom w:val="0"/>
      <w:divBdr>
        <w:top w:val="none" w:sz="0" w:space="0" w:color="auto"/>
        <w:left w:val="none" w:sz="0" w:space="0" w:color="auto"/>
        <w:bottom w:val="none" w:sz="0" w:space="0" w:color="auto"/>
        <w:right w:val="none" w:sz="0" w:space="0" w:color="auto"/>
      </w:divBdr>
    </w:div>
    <w:div w:id="200673787">
      <w:bodyDiv w:val="1"/>
      <w:marLeft w:val="0"/>
      <w:marRight w:val="0"/>
      <w:marTop w:val="0"/>
      <w:marBottom w:val="0"/>
      <w:divBdr>
        <w:top w:val="none" w:sz="0" w:space="0" w:color="auto"/>
        <w:left w:val="none" w:sz="0" w:space="0" w:color="auto"/>
        <w:bottom w:val="none" w:sz="0" w:space="0" w:color="auto"/>
        <w:right w:val="none" w:sz="0" w:space="0" w:color="auto"/>
      </w:divBdr>
    </w:div>
    <w:div w:id="207110720">
      <w:bodyDiv w:val="1"/>
      <w:marLeft w:val="0"/>
      <w:marRight w:val="0"/>
      <w:marTop w:val="0"/>
      <w:marBottom w:val="0"/>
      <w:divBdr>
        <w:top w:val="none" w:sz="0" w:space="0" w:color="auto"/>
        <w:left w:val="none" w:sz="0" w:space="0" w:color="auto"/>
        <w:bottom w:val="none" w:sz="0" w:space="0" w:color="auto"/>
        <w:right w:val="none" w:sz="0" w:space="0" w:color="auto"/>
      </w:divBdr>
    </w:div>
    <w:div w:id="292566206">
      <w:bodyDiv w:val="1"/>
      <w:marLeft w:val="0"/>
      <w:marRight w:val="0"/>
      <w:marTop w:val="0"/>
      <w:marBottom w:val="0"/>
      <w:divBdr>
        <w:top w:val="none" w:sz="0" w:space="0" w:color="auto"/>
        <w:left w:val="none" w:sz="0" w:space="0" w:color="auto"/>
        <w:bottom w:val="none" w:sz="0" w:space="0" w:color="auto"/>
        <w:right w:val="none" w:sz="0" w:space="0" w:color="auto"/>
      </w:divBdr>
    </w:div>
    <w:div w:id="431585767">
      <w:bodyDiv w:val="1"/>
      <w:marLeft w:val="0"/>
      <w:marRight w:val="0"/>
      <w:marTop w:val="0"/>
      <w:marBottom w:val="0"/>
      <w:divBdr>
        <w:top w:val="none" w:sz="0" w:space="0" w:color="auto"/>
        <w:left w:val="none" w:sz="0" w:space="0" w:color="auto"/>
        <w:bottom w:val="none" w:sz="0" w:space="0" w:color="auto"/>
        <w:right w:val="none" w:sz="0" w:space="0" w:color="auto"/>
      </w:divBdr>
    </w:div>
    <w:div w:id="432552219">
      <w:bodyDiv w:val="1"/>
      <w:marLeft w:val="0"/>
      <w:marRight w:val="0"/>
      <w:marTop w:val="0"/>
      <w:marBottom w:val="0"/>
      <w:divBdr>
        <w:top w:val="none" w:sz="0" w:space="0" w:color="auto"/>
        <w:left w:val="none" w:sz="0" w:space="0" w:color="auto"/>
        <w:bottom w:val="none" w:sz="0" w:space="0" w:color="auto"/>
        <w:right w:val="none" w:sz="0" w:space="0" w:color="auto"/>
      </w:divBdr>
    </w:div>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523061179">
      <w:bodyDiv w:val="1"/>
      <w:marLeft w:val="0"/>
      <w:marRight w:val="0"/>
      <w:marTop w:val="0"/>
      <w:marBottom w:val="0"/>
      <w:divBdr>
        <w:top w:val="none" w:sz="0" w:space="0" w:color="auto"/>
        <w:left w:val="none" w:sz="0" w:space="0" w:color="auto"/>
        <w:bottom w:val="none" w:sz="0" w:space="0" w:color="auto"/>
        <w:right w:val="none" w:sz="0" w:space="0" w:color="auto"/>
      </w:divBdr>
    </w:div>
    <w:div w:id="587467779">
      <w:bodyDiv w:val="1"/>
      <w:marLeft w:val="0"/>
      <w:marRight w:val="0"/>
      <w:marTop w:val="0"/>
      <w:marBottom w:val="0"/>
      <w:divBdr>
        <w:top w:val="none" w:sz="0" w:space="0" w:color="auto"/>
        <w:left w:val="none" w:sz="0" w:space="0" w:color="auto"/>
        <w:bottom w:val="none" w:sz="0" w:space="0" w:color="auto"/>
        <w:right w:val="none" w:sz="0" w:space="0" w:color="auto"/>
      </w:divBdr>
    </w:div>
    <w:div w:id="645234401">
      <w:bodyDiv w:val="1"/>
      <w:marLeft w:val="0"/>
      <w:marRight w:val="0"/>
      <w:marTop w:val="0"/>
      <w:marBottom w:val="0"/>
      <w:divBdr>
        <w:top w:val="none" w:sz="0" w:space="0" w:color="auto"/>
        <w:left w:val="none" w:sz="0" w:space="0" w:color="auto"/>
        <w:bottom w:val="none" w:sz="0" w:space="0" w:color="auto"/>
        <w:right w:val="none" w:sz="0" w:space="0" w:color="auto"/>
      </w:divBdr>
    </w:div>
    <w:div w:id="685398683">
      <w:bodyDiv w:val="1"/>
      <w:marLeft w:val="0"/>
      <w:marRight w:val="0"/>
      <w:marTop w:val="0"/>
      <w:marBottom w:val="0"/>
      <w:divBdr>
        <w:top w:val="none" w:sz="0" w:space="0" w:color="auto"/>
        <w:left w:val="none" w:sz="0" w:space="0" w:color="auto"/>
        <w:bottom w:val="none" w:sz="0" w:space="0" w:color="auto"/>
        <w:right w:val="none" w:sz="0" w:space="0" w:color="auto"/>
      </w:divBdr>
    </w:div>
    <w:div w:id="730730467">
      <w:bodyDiv w:val="1"/>
      <w:marLeft w:val="0"/>
      <w:marRight w:val="0"/>
      <w:marTop w:val="0"/>
      <w:marBottom w:val="0"/>
      <w:divBdr>
        <w:top w:val="none" w:sz="0" w:space="0" w:color="auto"/>
        <w:left w:val="none" w:sz="0" w:space="0" w:color="auto"/>
        <w:bottom w:val="none" w:sz="0" w:space="0" w:color="auto"/>
        <w:right w:val="none" w:sz="0" w:space="0" w:color="auto"/>
      </w:divBdr>
    </w:div>
    <w:div w:id="773674570">
      <w:bodyDiv w:val="1"/>
      <w:marLeft w:val="0"/>
      <w:marRight w:val="0"/>
      <w:marTop w:val="0"/>
      <w:marBottom w:val="0"/>
      <w:divBdr>
        <w:top w:val="none" w:sz="0" w:space="0" w:color="auto"/>
        <w:left w:val="none" w:sz="0" w:space="0" w:color="auto"/>
        <w:bottom w:val="none" w:sz="0" w:space="0" w:color="auto"/>
        <w:right w:val="none" w:sz="0" w:space="0" w:color="auto"/>
      </w:divBdr>
    </w:div>
    <w:div w:id="776872612">
      <w:bodyDiv w:val="1"/>
      <w:marLeft w:val="0"/>
      <w:marRight w:val="0"/>
      <w:marTop w:val="0"/>
      <w:marBottom w:val="0"/>
      <w:divBdr>
        <w:top w:val="none" w:sz="0" w:space="0" w:color="auto"/>
        <w:left w:val="none" w:sz="0" w:space="0" w:color="auto"/>
        <w:bottom w:val="none" w:sz="0" w:space="0" w:color="auto"/>
        <w:right w:val="none" w:sz="0" w:space="0" w:color="auto"/>
      </w:divBdr>
    </w:div>
    <w:div w:id="844247101">
      <w:bodyDiv w:val="1"/>
      <w:marLeft w:val="0"/>
      <w:marRight w:val="0"/>
      <w:marTop w:val="0"/>
      <w:marBottom w:val="0"/>
      <w:divBdr>
        <w:top w:val="none" w:sz="0" w:space="0" w:color="auto"/>
        <w:left w:val="none" w:sz="0" w:space="0" w:color="auto"/>
        <w:bottom w:val="none" w:sz="0" w:space="0" w:color="auto"/>
        <w:right w:val="none" w:sz="0" w:space="0" w:color="auto"/>
      </w:divBdr>
    </w:div>
    <w:div w:id="929434605">
      <w:bodyDiv w:val="1"/>
      <w:marLeft w:val="0"/>
      <w:marRight w:val="0"/>
      <w:marTop w:val="0"/>
      <w:marBottom w:val="0"/>
      <w:divBdr>
        <w:top w:val="none" w:sz="0" w:space="0" w:color="auto"/>
        <w:left w:val="none" w:sz="0" w:space="0" w:color="auto"/>
        <w:bottom w:val="none" w:sz="0" w:space="0" w:color="auto"/>
        <w:right w:val="none" w:sz="0" w:space="0" w:color="auto"/>
      </w:divBdr>
    </w:div>
    <w:div w:id="935479394">
      <w:bodyDiv w:val="1"/>
      <w:marLeft w:val="0"/>
      <w:marRight w:val="0"/>
      <w:marTop w:val="0"/>
      <w:marBottom w:val="0"/>
      <w:divBdr>
        <w:top w:val="none" w:sz="0" w:space="0" w:color="auto"/>
        <w:left w:val="none" w:sz="0" w:space="0" w:color="auto"/>
        <w:bottom w:val="none" w:sz="0" w:space="0" w:color="auto"/>
        <w:right w:val="none" w:sz="0" w:space="0" w:color="auto"/>
      </w:divBdr>
    </w:div>
    <w:div w:id="968166149">
      <w:bodyDiv w:val="1"/>
      <w:marLeft w:val="0"/>
      <w:marRight w:val="0"/>
      <w:marTop w:val="0"/>
      <w:marBottom w:val="0"/>
      <w:divBdr>
        <w:top w:val="none" w:sz="0" w:space="0" w:color="auto"/>
        <w:left w:val="none" w:sz="0" w:space="0" w:color="auto"/>
        <w:bottom w:val="none" w:sz="0" w:space="0" w:color="auto"/>
        <w:right w:val="none" w:sz="0" w:space="0" w:color="auto"/>
      </w:divBdr>
    </w:div>
    <w:div w:id="978726877">
      <w:bodyDiv w:val="1"/>
      <w:marLeft w:val="0"/>
      <w:marRight w:val="0"/>
      <w:marTop w:val="0"/>
      <w:marBottom w:val="0"/>
      <w:divBdr>
        <w:top w:val="none" w:sz="0" w:space="0" w:color="auto"/>
        <w:left w:val="none" w:sz="0" w:space="0" w:color="auto"/>
        <w:bottom w:val="none" w:sz="0" w:space="0" w:color="auto"/>
        <w:right w:val="none" w:sz="0" w:space="0" w:color="auto"/>
      </w:divBdr>
    </w:div>
    <w:div w:id="1066957219">
      <w:bodyDiv w:val="1"/>
      <w:marLeft w:val="0"/>
      <w:marRight w:val="0"/>
      <w:marTop w:val="0"/>
      <w:marBottom w:val="0"/>
      <w:divBdr>
        <w:top w:val="none" w:sz="0" w:space="0" w:color="auto"/>
        <w:left w:val="none" w:sz="0" w:space="0" w:color="auto"/>
        <w:bottom w:val="none" w:sz="0" w:space="0" w:color="auto"/>
        <w:right w:val="none" w:sz="0" w:space="0" w:color="auto"/>
      </w:divBdr>
    </w:div>
    <w:div w:id="1095899502">
      <w:bodyDiv w:val="1"/>
      <w:marLeft w:val="0"/>
      <w:marRight w:val="0"/>
      <w:marTop w:val="0"/>
      <w:marBottom w:val="0"/>
      <w:divBdr>
        <w:top w:val="none" w:sz="0" w:space="0" w:color="auto"/>
        <w:left w:val="none" w:sz="0" w:space="0" w:color="auto"/>
        <w:bottom w:val="none" w:sz="0" w:space="0" w:color="auto"/>
        <w:right w:val="none" w:sz="0" w:space="0" w:color="auto"/>
      </w:divBdr>
    </w:div>
    <w:div w:id="1099912316">
      <w:bodyDiv w:val="1"/>
      <w:marLeft w:val="0"/>
      <w:marRight w:val="0"/>
      <w:marTop w:val="0"/>
      <w:marBottom w:val="0"/>
      <w:divBdr>
        <w:top w:val="none" w:sz="0" w:space="0" w:color="auto"/>
        <w:left w:val="none" w:sz="0" w:space="0" w:color="auto"/>
        <w:bottom w:val="none" w:sz="0" w:space="0" w:color="auto"/>
        <w:right w:val="none" w:sz="0" w:space="0" w:color="auto"/>
      </w:divBdr>
    </w:div>
    <w:div w:id="1110009507">
      <w:bodyDiv w:val="1"/>
      <w:marLeft w:val="0"/>
      <w:marRight w:val="0"/>
      <w:marTop w:val="0"/>
      <w:marBottom w:val="0"/>
      <w:divBdr>
        <w:top w:val="none" w:sz="0" w:space="0" w:color="auto"/>
        <w:left w:val="none" w:sz="0" w:space="0" w:color="auto"/>
        <w:bottom w:val="none" w:sz="0" w:space="0" w:color="auto"/>
        <w:right w:val="none" w:sz="0" w:space="0" w:color="auto"/>
      </w:divBdr>
    </w:div>
    <w:div w:id="1111245336">
      <w:bodyDiv w:val="1"/>
      <w:marLeft w:val="0"/>
      <w:marRight w:val="0"/>
      <w:marTop w:val="0"/>
      <w:marBottom w:val="0"/>
      <w:divBdr>
        <w:top w:val="none" w:sz="0" w:space="0" w:color="auto"/>
        <w:left w:val="none" w:sz="0" w:space="0" w:color="auto"/>
        <w:bottom w:val="none" w:sz="0" w:space="0" w:color="auto"/>
        <w:right w:val="none" w:sz="0" w:space="0" w:color="auto"/>
      </w:divBdr>
    </w:div>
    <w:div w:id="1208033767">
      <w:bodyDiv w:val="1"/>
      <w:marLeft w:val="0"/>
      <w:marRight w:val="0"/>
      <w:marTop w:val="0"/>
      <w:marBottom w:val="0"/>
      <w:divBdr>
        <w:top w:val="none" w:sz="0" w:space="0" w:color="auto"/>
        <w:left w:val="none" w:sz="0" w:space="0" w:color="auto"/>
        <w:bottom w:val="none" w:sz="0" w:space="0" w:color="auto"/>
        <w:right w:val="none" w:sz="0" w:space="0" w:color="auto"/>
      </w:divBdr>
    </w:div>
    <w:div w:id="1255240797">
      <w:bodyDiv w:val="1"/>
      <w:marLeft w:val="0"/>
      <w:marRight w:val="0"/>
      <w:marTop w:val="0"/>
      <w:marBottom w:val="0"/>
      <w:divBdr>
        <w:top w:val="none" w:sz="0" w:space="0" w:color="auto"/>
        <w:left w:val="none" w:sz="0" w:space="0" w:color="auto"/>
        <w:bottom w:val="none" w:sz="0" w:space="0" w:color="auto"/>
        <w:right w:val="none" w:sz="0" w:space="0" w:color="auto"/>
      </w:divBdr>
    </w:div>
    <w:div w:id="1257858594">
      <w:bodyDiv w:val="1"/>
      <w:marLeft w:val="0"/>
      <w:marRight w:val="0"/>
      <w:marTop w:val="0"/>
      <w:marBottom w:val="0"/>
      <w:divBdr>
        <w:top w:val="none" w:sz="0" w:space="0" w:color="auto"/>
        <w:left w:val="none" w:sz="0" w:space="0" w:color="auto"/>
        <w:bottom w:val="none" w:sz="0" w:space="0" w:color="auto"/>
        <w:right w:val="none" w:sz="0" w:space="0" w:color="auto"/>
      </w:divBdr>
    </w:div>
    <w:div w:id="1295409576">
      <w:bodyDiv w:val="1"/>
      <w:marLeft w:val="0"/>
      <w:marRight w:val="0"/>
      <w:marTop w:val="0"/>
      <w:marBottom w:val="0"/>
      <w:divBdr>
        <w:top w:val="none" w:sz="0" w:space="0" w:color="auto"/>
        <w:left w:val="none" w:sz="0" w:space="0" w:color="auto"/>
        <w:bottom w:val="none" w:sz="0" w:space="0" w:color="auto"/>
        <w:right w:val="none" w:sz="0" w:space="0" w:color="auto"/>
      </w:divBdr>
    </w:div>
    <w:div w:id="1352610166">
      <w:bodyDiv w:val="1"/>
      <w:marLeft w:val="0"/>
      <w:marRight w:val="0"/>
      <w:marTop w:val="0"/>
      <w:marBottom w:val="0"/>
      <w:divBdr>
        <w:top w:val="none" w:sz="0" w:space="0" w:color="auto"/>
        <w:left w:val="none" w:sz="0" w:space="0" w:color="auto"/>
        <w:bottom w:val="none" w:sz="0" w:space="0" w:color="auto"/>
        <w:right w:val="none" w:sz="0" w:space="0" w:color="auto"/>
      </w:divBdr>
    </w:div>
    <w:div w:id="1387221596">
      <w:bodyDiv w:val="1"/>
      <w:marLeft w:val="0"/>
      <w:marRight w:val="0"/>
      <w:marTop w:val="0"/>
      <w:marBottom w:val="0"/>
      <w:divBdr>
        <w:top w:val="none" w:sz="0" w:space="0" w:color="auto"/>
        <w:left w:val="none" w:sz="0" w:space="0" w:color="auto"/>
        <w:bottom w:val="none" w:sz="0" w:space="0" w:color="auto"/>
        <w:right w:val="none" w:sz="0" w:space="0" w:color="auto"/>
      </w:divBdr>
    </w:div>
    <w:div w:id="1436175548">
      <w:bodyDiv w:val="1"/>
      <w:marLeft w:val="0"/>
      <w:marRight w:val="0"/>
      <w:marTop w:val="0"/>
      <w:marBottom w:val="0"/>
      <w:divBdr>
        <w:top w:val="none" w:sz="0" w:space="0" w:color="auto"/>
        <w:left w:val="none" w:sz="0" w:space="0" w:color="auto"/>
        <w:bottom w:val="none" w:sz="0" w:space="0" w:color="auto"/>
        <w:right w:val="none" w:sz="0" w:space="0" w:color="auto"/>
      </w:divBdr>
    </w:div>
    <w:div w:id="1457215283">
      <w:bodyDiv w:val="1"/>
      <w:marLeft w:val="0"/>
      <w:marRight w:val="0"/>
      <w:marTop w:val="0"/>
      <w:marBottom w:val="0"/>
      <w:divBdr>
        <w:top w:val="none" w:sz="0" w:space="0" w:color="auto"/>
        <w:left w:val="none" w:sz="0" w:space="0" w:color="auto"/>
        <w:bottom w:val="none" w:sz="0" w:space="0" w:color="auto"/>
        <w:right w:val="none" w:sz="0" w:space="0" w:color="auto"/>
      </w:divBdr>
      <w:divsChild>
        <w:div w:id="78871172">
          <w:marLeft w:val="0"/>
          <w:marRight w:val="0"/>
          <w:marTop w:val="0"/>
          <w:marBottom w:val="0"/>
          <w:divBdr>
            <w:top w:val="none" w:sz="0" w:space="0" w:color="auto"/>
            <w:left w:val="none" w:sz="0" w:space="0" w:color="auto"/>
            <w:bottom w:val="none" w:sz="0" w:space="0" w:color="auto"/>
            <w:right w:val="none" w:sz="0" w:space="0" w:color="auto"/>
          </w:divBdr>
        </w:div>
      </w:divsChild>
    </w:div>
    <w:div w:id="1502086381">
      <w:bodyDiv w:val="1"/>
      <w:marLeft w:val="0"/>
      <w:marRight w:val="0"/>
      <w:marTop w:val="0"/>
      <w:marBottom w:val="0"/>
      <w:divBdr>
        <w:top w:val="none" w:sz="0" w:space="0" w:color="auto"/>
        <w:left w:val="none" w:sz="0" w:space="0" w:color="auto"/>
        <w:bottom w:val="none" w:sz="0" w:space="0" w:color="auto"/>
        <w:right w:val="none" w:sz="0" w:space="0" w:color="auto"/>
      </w:divBdr>
    </w:div>
    <w:div w:id="1550650654">
      <w:bodyDiv w:val="1"/>
      <w:marLeft w:val="0"/>
      <w:marRight w:val="0"/>
      <w:marTop w:val="0"/>
      <w:marBottom w:val="0"/>
      <w:divBdr>
        <w:top w:val="none" w:sz="0" w:space="0" w:color="auto"/>
        <w:left w:val="none" w:sz="0" w:space="0" w:color="auto"/>
        <w:bottom w:val="none" w:sz="0" w:space="0" w:color="auto"/>
        <w:right w:val="none" w:sz="0" w:space="0" w:color="auto"/>
      </w:divBdr>
    </w:div>
    <w:div w:id="1554387269">
      <w:bodyDiv w:val="1"/>
      <w:marLeft w:val="0"/>
      <w:marRight w:val="0"/>
      <w:marTop w:val="0"/>
      <w:marBottom w:val="0"/>
      <w:divBdr>
        <w:top w:val="none" w:sz="0" w:space="0" w:color="auto"/>
        <w:left w:val="none" w:sz="0" w:space="0" w:color="auto"/>
        <w:bottom w:val="none" w:sz="0" w:space="0" w:color="auto"/>
        <w:right w:val="none" w:sz="0" w:space="0" w:color="auto"/>
      </w:divBdr>
    </w:div>
    <w:div w:id="1558514614">
      <w:bodyDiv w:val="1"/>
      <w:marLeft w:val="0"/>
      <w:marRight w:val="0"/>
      <w:marTop w:val="0"/>
      <w:marBottom w:val="0"/>
      <w:divBdr>
        <w:top w:val="none" w:sz="0" w:space="0" w:color="auto"/>
        <w:left w:val="none" w:sz="0" w:space="0" w:color="auto"/>
        <w:bottom w:val="none" w:sz="0" w:space="0" w:color="auto"/>
        <w:right w:val="none" w:sz="0" w:space="0" w:color="auto"/>
      </w:divBdr>
    </w:div>
    <w:div w:id="1596355394">
      <w:bodyDiv w:val="1"/>
      <w:marLeft w:val="0"/>
      <w:marRight w:val="0"/>
      <w:marTop w:val="0"/>
      <w:marBottom w:val="0"/>
      <w:divBdr>
        <w:top w:val="none" w:sz="0" w:space="0" w:color="auto"/>
        <w:left w:val="none" w:sz="0" w:space="0" w:color="auto"/>
        <w:bottom w:val="none" w:sz="0" w:space="0" w:color="auto"/>
        <w:right w:val="none" w:sz="0" w:space="0" w:color="auto"/>
      </w:divBdr>
    </w:div>
    <w:div w:id="1672176023">
      <w:bodyDiv w:val="1"/>
      <w:marLeft w:val="0"/>
      <w:marRight w:val="0"/>
      <w:marTop w:val="0"/>
      <w:marBottom w:val="0"/>
      <w:divBdr>
        <w:top w:val="none" w:sz="0" w:space="0" w:color="auto"/>
        <w:left w:val="none" w:sz="0" w:space="0" w:color="auto"/>
        <w:bottom w:val="none" w:sz="0" w:space="0" w:color="auto"/>
        <w:right w:val="none" w:sz="0" w:space="0" w:color="auto"/>
      </w:divBdr>
    </w:div>
    <w:div w:id="1676346145">
      <w:bodyDiv w:val="1"/>
      <w:marLeft w:val="0"/>
      <w:marRight w:val="0"/>
      <w:marTop w:val="0"/>
      <w:marBottom w:val="0"/>
      <w:divBdr>
        <w:top w:val="none" w:sz="0" w:space="0" w:color="auto"/>
        <w:left w:val="none" w:sz="0" w:space="0" w:color="auto"/>
        <w:bottom w:val="none" w:sz="0" w:space="0" w:color="auto"/>
        <w:right w:val="none" w:sz="0" w:space="0" w:color="auto"/>
      </w:divBdr>
    </w:div>
    <w:div w:id="1694846538">
      <w:bodyDiv w:val="1"/>
      <w:marLeft w:val="0"/>
      <w:marRight w:val="0"/>
      <w:marTop w:val="0"/>
      <w:marBottom w:val="0"/>
      <w:divBdr>
        <w:top w:val="none" w:sz="0" w:space="0" w:color="auto"/>
        <w:left w:val="none" w:sz="0" w:space="0" w:color="auto"/>
        <w:bottom w:val="none" w:sz="0" w:space="0" w:color="auto"/>
        <w:right w:val="none" w:sz="0" w:space="0" w:color="auto"/>
      </w:divBdr>
    </w:div>
    <w:div w:id="1716388773">
      <w:bodyDiv w:val="1"/>
      <w:marLeft w:val="0"/>
      <w:marRight w:val="0"/>
      <w:marTop w:val="0"/>
      <w:marBottom w:val="0"/>
      <w:divBdr>
        <w:top w:val="none" w:sz="0" w:space="0" w:color="auto"/>
        <w:left w:val="none" w:sz="0" w:space="0" w:color="auto"/>
        <w:bottom w:val="none" w:sz="0" w:space="0" w:color="auto"/>
        <w:right w:val="none" w:sz="0" w:space="0" w:color="auto"/>
      </w:divBdr>
    </w:div>
    <w:div w:id="1722943493">
      <w:bodyDiv w:val="1"/>
      <w:marLeft w:val="0"/>
      <w:marRight w:val="0"/>
      <w:marTop w:val="0"/>
      <w:marBottom w:val="0"/>
      <w:divBdr>
        <w:top w:val="none" w:sz="0" w:space="0" w:color="auto"/>
        <w:left w:val="none" w:sz="0" w:space="0" w:color="auto"/>
        <w:bottom w:val="none" w:sz="0" w:space="0" w:color="auto"/>
        <w:right w:val="none" w:sz="0" w:space="0" w:color="auto"/>
      </w:divBdr>
    </w:div>
    <w:div w:id="1734310665">
      <w:bodyDiv w:val="1"/>
      <w:marLeft w:val="0"/>
      <w:marRight w:val="0"/>
      <w:marTop w:val="0"/>
      <w:marBottom w:val="0"/>
      <w:divBdr>
        <w:top w:val="none" w:sz="0" w:space="0" w:color="auto"/>
        <w:left w:val="none" w:sz="0" w:space="0" w:color="auto"/>
        <w:bottom w:val="none" w:sz="0" w:space="0" w:color="auto"/>
        <w:right w:val="none" w:sz="0" w:space="0" w:color="auto"/>
      </w:divBdr>
    </w:div>
    <w:div w:id="1815442132">
      <w:bodyDiv w:val="1"/>
      <w:marLeft w:val="0"/>
      <w:marRight w:val="0"/>
      <w:marTop w:val="0"/>
      <w:marBottom w:val="0"/>
      <w:divBdr>
        <w:top w:val="none" w:sz="0" w:space="0" w:color="auto"/>
        <w:left w:val="none" w:sz="0" w:space="0" w:color="auto"/>
        <w:bottom w:val="none" w:sz="0" w:space="0" w:color="auto"/>
        <w:right w:val="none" w:sz="0" w:space="0" w:color="auto"/>
      </w:divBdr>
      <w:divsChild>
        <w:div w:id="801119305">
          <w:marLeft w:val="0"/>
          <w:marRight w:val="0"/>
          <w:marTop w:val="0"/>
          <w:marBottom w:val="0"/>
          <w:divBdr>
            <w:top w:val="none" w:sz="0" w:space="0" w:color="auto"/>
            <w:left w:val="none" w:sz="0" w:space="0" w:color="auto"/>
            <w:bottom w:val="none" w:sz="0" w:space="0" w:color="auto"/>
            <w:right w:val="none" w:sz="0" w:space="0" w:color="auto"/>
          </w:divBdr>
        </w:div>
      </w:divsChild>
    </w:div>
    <w:div w:id="1865291627">
      <w:bodyDiv w:val="1"/>
      <w:marLeft w:val="0"/>
      <w:marRight w:val="0"/>
      <w:marTop w:val="0"/>
      <w:marBottom w:val="0"/>
      <w:divBdr>
        <w:top w:val="none" w:sz="0" w:space="0" w:color="auto"/>
        <w:left w:val="none" w:sz="0" w:space="0" w:color="auto"/>
        <w:bottom w:val="none" w:sz="0" w:space="0" w:color="auto"/>
        <w:right w:val="none" w:sz="0" w:space="0" w:color="auto"/>
      </w:divBdr>
    </w:div>
    <w:div w:id="1871064518">
      <w:bodyDiv w:val="1"/>
      <w:marLeft w:val="0"/>
      <w:marRight w:val="0"/>
      <w:marTop w:val="0"/>
      <w:marBottom w:val="0"/>
      <w:divBdr>
        <w:top w:val="none" w:sz="0" w:space="0" w:color="auto"/>
        <w:left w:val="none" w:sz="0" w:space="0" w:color="auto"/>
        <w:bottom w:val="none" w:sz="0" w:space="0" w:color="auto"/>
        <w:right w:val="none" w:sz="0" w:space="0" w:color="auto"/>
      </w:divBdr>
    </w:div>
    <w:div w:id="1889874814">
      <w:bodyDiv w:val="1"/>
      <w:marLeft w:val="0"/>
      <w:marRight w:val="0"/>
      <w:marTop w:val="0"/>
      <w:marBottom w:val="0"/>
      <w:divBdr>
        <w:top w:val="none" w:sz="0" w:space="0" w:color="auto"/>
        <w:left w:val="none" w:sz="0" w:space="0" w:color="auto"/>
        <w:bottom w:val="none" w:sz="0" w:space="0" w:color="auto"/>
        <w:right w:val="none" w:sz="0" w:space="0" w:color="auto"/>
      </w:divBdr>
    </w:div>
    <w:div w:id="1963002797">
      <w:bodyDiv w:val="1"/>
      <w:marLeft w:val="0"/>
      <w:marRight w:val="0"/>
      <w:marTop w:val="0"/>
      <w:marBottom w:val="0"/>
      <w:divBdr>
        <w:top w:val="none" w:sz="0" w:space="0" w:color="auto"/>
        <w:left w:val="none" w:sz="0" w:space="0" w:color="auto"/>
        <w:bottom w:val="none" w:sz="0" w:space="0" w:color="auto"/>
        <w:right w:val="none" w:sz="0" w:space="0" w:color="auto"/>
      </w:divBdr>
    </w:div>
    <w:div w:id="1967537527">
      <w:bodyDiv w:val="1"/>
      <w:marLeft w:val="0"/>
      <w:marRight w:val="0"/>
      <w:marTop w:val="0"/>
      <w:marBottom w:val="0"/>
      <w:divBdr>
        <w:top w:val="none" w:sz="0" w:space="0" w:color="auto"/>
        <w:left w:val="none" w:sz="0" w:space="0" w:color="auto"/>
        <w:bottom w:val="none" w:sz="0" w:space="0" w:color="auto"/>
        <w:right w:val="none" w:sz="0" w:space="0" w:color="auto"/>
      </w:divBdr>
    </w:div>
    <w:div w:id="2032144096">
      <w:bodyDiv w:val="1"/>
      <w:marLeft w:val="0"/>
      <w:marRight w:val="0"/>
      <w:marTop w:val="0"/>
      <w:marBottom w:val="0"/>
      <w:divBdr>
        <w:top w:val="none" w:sz="0" w:space="0" w:color="auto"/>
        <w:left w:val="none" w:sz="0" w:space="0" w:color="auto"/>
        <w:bottom w:val="none" w:sz="0" w:space="0" w:color="auto"/>
        <w:right w:val="none" w:sz="0" w:space="0" w:color="auto"/>
      </w:divBdr>
    </w:div>
    <w:div w:id="2112436210">
      <w:bodyDiv w:val="1"/>
      <w:marLeft w:val="0"/>
      <w:marRight w:val="0"/>
      <w:marTop w:val="0"/>
      <w:marBottom w:val="0"/>
      <w:divBdr>
        <w:top w:val="none" w:sz="0" w:space="0" w:color="auto"/>
        <w:left w:val="none" w:sz="0" w:space="0" w:color="auto"/>
        <w:bottom w:val="none" w:sz="0" w:space="0" w:color="auto"/>
        <w:right w:val="none" w:sz="0" w:space="0" w:color="auto"/>
      </w:divBdr>
    </w:div>
    <w:div w:id="2113670795">
      <w:bodyDiv w:val="1"/>
      <w:marLeft w:val="0"/>
      <w:marRight w:val="0"/>
      <w:marTop w:val="0"/>
      <w:marBottom w:val="0"/>
      <w:divBdr>
        <w:top w:val="none" w:sz="0" w:space="0" w:color="auto"/>
        <w:left w:val="none" w:sz="0" w:space="0" w:color="auto"/>
        <w:bottom w:val="none" w:sz="0" w:space="0" w:color="auto"/>
        <w:right w:val="none" w:sz="0" w:space="0" w:color="auto"/>
      </w:divBdr>
    </w:div>
    <w:div w:id="2116443471">
      <w:bodyDiv w:val="1"/>
      <w:marLeft w:val="0"/>
      <w:marRight w:val="0"/>
      <w:marTop w:val="0"/>
      <w:marBottom w:val="0"/>
      <w:divBdr>
        <w:top w:val="none" w:sz="0" w:space="0" w:color="auto"/>
        <w:left w:val="none" w:sz="0" w:space="0" w:color="auto"/>
        <w:bottom w:val="none" w:sz="0" w:space="0" w:color="auto"/>
        <w:right w:val="none" w:sz="0" w:space="0" w:color="auto"/>
      </w:divBdr>
    </w:div>
    <w:div w:id="2138526540">
      <w:bodyDiv w:val="1"/>
      <w:marLeft w:val="0"/>
      <w:marRight w:val="0"/>
      <w:marTop w:val="0"/>
      <w:marBottom w:val="0"/>
      <w:divBdr>
        <w:top w:val="none" w:sz="0" w:space="0" w:color="auto"/>
        <w:left w:val="none" w:sz="0" w:space="0" w:color="auto"/>
        <w:bottom w:val="none" w:sz="0" w:space="0" w:color="auto"/>
        <w:right w:val="none" w:sz="0" w:space="0" w:color="auto"/>
      </w:divBdr>
    </w:div>
    <w:div w:id="214245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yperlink" Target="https://eur-lex.europa.eu/legal-content/EN/TXT/?uri=comnat%3ACOM_2025_0463_FIN" TargetMode="External" Id="rId12" /><Relationship Type="http://schemas.openxmlformats.org/officeDocument/2006/relationships/theme" Target="theme/theme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kamerstukken/2025/09/12/kamerbrief-inzake-kabinetsappreciatie-mfk-en-emb-voorstellen-europese-commissie" TargetMode="External"/><Relationship Id="rId1" Type="http://schemas.openxmlformats.org/officeDocument/2006/relationships/hyperlink" Target="https://www.rijksoverheid.nl/documenten/kamerstukken/2025/03/28/kamerbrief-inzake-nederlandse-inzet-hoofdlijnen-mfk-202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10</ap:Pages>
  <ap:Words>3993</ap:Words>
  <ap:Characters>24848</ap:Characters>
  <ap:DocSecurity>0</ap:DocSecurity>
  <ap:Lines>207</ap:Lines>
  <ap:Paragraphs>57</ap:Paragraphs>
  <ap:ScaleCrop>false</ap:ScaleCrop>
  <ap:HeadingPairs>
    <vt:vector baseType="variant" size="2">
      <vt:variant>
        <vt:lpstr>Titel</vt:lpstr>
      </vt:variant>
      <vt:variant>
        <vt:i4>1</vt:i4>
      </vt:variant>
    </vt:vector>
  </ap:HeadingPairs>
  <ap:TitlesOfParts>
    <vt:vector baseType="lpstr" size="1">
      <vt:lpstr>Toelichting invullen fiche mededeling</vt:lpstr>
    </vt:vector>
  </ap:TitlesOfParts>
  <ap:LinksUpToDate>false</ap:LinksUpToDate>
  <ap:CharactersWithSpaces>28784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2025-10-08T08:13:00.0000000Z</lastPrinted>
  <dcterms:created xsi:type="dcterms:W3CDTF">2025-10-17T13:53:00.0000000Z</dcterms:created>
  <dcterms:modified xsi:type="dcterms:W3CDTF">2025-10-17T13:53:00.0000000Z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a509c7afcac4f5cb939db754ffece25">
    <vt:lpwstr>UNCLASSIFIED|d92c6340-bc14-4cb2-a9a6-6deda93c493b</vt:lpwstr>
  </property>
  <property fmtid="{D5CDD505-2E9C-101B-9397-08002B2CF9AE}" pid="4" name="nf4434b3fae540fe847866e45672fb3a">
    <vt:lpwstr>European cooperation (non-EU) general|32cb20cb-36c6-4655-9372-780089c6b4ef</vt:lpwstr>
  </property>
  <property fmtid="{D5CDD505-2E9C-101B-9397-08002B2CF9AE}" pid="5" name="a45510494d1a450e9cee6905c7ad8168">
    <vt:lpwstr>Not applicable|ec01d90b-9d0f-4785-8785-e1ea615196bf</vt:lpwstr>
  </property>
  <property fmtid="{D5CDD505-2E9C-101B-9397-08002B2CF9AE}" pid="6" name="ge4bd621e46a403e97baf402a410deb5">
    <vt:lpwstr>EU|4d8f9873-61b3-4ee5-b6f7-0bb00c6df5e8</vt:lpwstr>
  </property>
  <property fmtid="{D5CDD505-2E9C-101B-9397-08002B2CF9AE}" pid="7" name="TaxCatchAll">
    <vt:lpwstr>4;#UNCLASSIFIED|d92c6340-bc14-4cb2-a9a6-6deda93c493b;#3;#EU|4d8f9873-61b3-4ee5-b6f7-0bb00c6df5e8;#2;#Not applicable|ec01d90b-9d0f-4785-8785-e1ea615196bf;#1;#European cooperation (non-EU) general|32cb20cb-36c6-4655-9372-780089c6b4ef</vt:lpwstr>
  </property>
  <property fmtid="{D5CDD505-2E9C-101B-9397-08002B2CF9AE}" pid="8" name="BZ_Forum">
    <vt:lpwstr>3;#EU|4d8f9873-61b3-4ee5-b6f7-0bb00c6df5e8</vt:lpwstr>
  </property>
  <property fmtid="{D5CDD505-2E9C-101B-9397-08002B2CF9AE}" pid="9" name="BZ_Classification">
    <vt:lpwstr>4;#UNCLASSIFIED|d92c6340-bc14-4cb2-a9a6-6deda93c493b</vt:lpwstr>
  </property>
  <property fmtid="{D5CDD505-2E9C-101B-9397-08002B2CF9AE}" pid="10" name="BZ_Country">
    <vt:lpwstr>2;#Not applicable|ec01d90b-9d0f-4785-8785-e1ea615196bf</vt:lpwstr>
  </property>
  <property fmtid="{D5CDD505-2E9C-101B-9397-08002B2CF9AE}" pid="11" name="BZ_Theme">
    <vt:lpwstr>1;#European cooperation (non-EU) general|32cb20cb-36c6-4655-9372-780089c6b4ef</vt:lpwstr>
  </property>
  <property fmtid="{D5CDD505-2E9C-101B-9397-08002B2CF9AE}" pid="12" name="ContentTypeId">
    <vt:lpwstr>0x01010038E60350FC170647B310166F2EB204D8</vt:lpwstr>
  </property>
  <property fmtid="{D5CDD505-2E9C-101B-9397-08002B2CF9AE}" pid="13" name="MSIP_Label_6800fede-0e59-47ad-af95-4e63bbdb932d_Enabled">
    <vt:lpwstr>true</vt:lpwstr>
  </property>
  <property fmtid="{D5CDD505-2E9C-101B-9397-08002B2CF9AE}" pid="14" name="MSIP_Label_6800fede-0e59-47ad-af95-4e63bbdb932d_SetDate">
    <vt:lpwstr>2025-07-29T15:22:40Z</vt:lpwstr>
  </property>
  <property fmtid="{D5CDD505-2E9C-101B-9397-08002B2CF9AE}" pid="15" name="MSIP_Label_6800fede-0e59-47ad-af95-4e63bbdb932d_Method">
    <vt:lpwstr>Standard</vt:lpwstr>
  </property>
  <property fmtid="{D5CDD505-2E9C-101B-9397-08002B2CF9AE}" pid="16" name="MSIP_Label_6800fede-0e59-47ad-af95-4e63bbdb932d_Name">
    <vt:lpwstr>FIN-DGGT-Rijksoverheid</vt:lpwstr>
  </property>
  <property fmtid="{D5CDD505-2E9C-101B-9397-08002B2CF9AE}" pid="17" name="MSIP_Label_6800fede-0e59-47ad-af95-4e63bbdb932d_SiteId">
    <vt:lpwstr>84712536-f524-40a0-913b-5d25ba502732</vt:lpwstr>
  </property>
  <property fmtid="{D5CDD505-2E9C-101B-9397-08002B2CF9AE}" pid="18" name="MSIP_Label_6800fede-0e59-47ad-af95-4e63bbdb932d_ActionId">
    <vt:lpwstr>e886d6fc-7ac5-4070-b50d-6e4cb0e9d992</vt:lpwstr>
  </property>
  <property fmtid="{D5CDD505-2E9C-101B-9397-08002B2CF9AE}" pid="19" name="MSIP_Label_6800fede-0e59-47ad-af95-4e63bbdb932d_ContentBits">
    <vt:lpwstr>0</vt:lpwstr>
  </property>
  <property fmtid="{D5CDD505-2E9C-101B-9397-08002B2CF9AE}" pid="20" name="_dlc_DocIdItemGuid">
    <vt:lpwstr>9aa38d5e-023a-4c16-ad1b-15d8197c129e</vt:lpwstr>
  </property>
  <property fmtid="{D5CDD505-2E9C-101B-9397-08002B2CF9AE}" pid="21" name="BZForumOrganisation">
    <vt:lpwstr>2;#Not applicable|0049e722-bfb1-4a3f-9d08-af7366a9af40</vt:lpwstr>
  </property>
  <property fmtid="{D5CDD505-2E9C-101B-9397-08002B2CF9AE}" pid="22" name="BZTheme">
    <vt:lpwstr>1;#Not applicable|ec01d90b-9d0f-4785-8785-e1ea615196bf</vt:lpwstr>
  </property>
  <property fmtid="{D5CDD505-2E9C-101B-9397-08002B2CF9AE}" pid="23" name="BZCountryState">
    <vt:lpwstr>3;#Not applicable|ec01d90b-9d0f-4785-8785-e1ea615196bf</vt:lpwstr>
  </property>
  <property fmtid="{D5CDD505-2E9C-101B-9397-08002B2CF9AE}" pid="24" name="BZMarking">
    <vt:lpwstr>5;#NO MARKING|0a4eb9ae-69eb-4d9e-b573-43ab99ef8592</vt:lpwstr>
  </property>
  <property fmtid="{D5CDD505-2E9C-101B-9397-08002B2CF9AE}" pid="25" name="BZClassification">
    <vt:lpwstr>4;#UNCLASSIFIED (U)|284e6a62-15ab-4017-be27-a1e965f4e940</vt:lpwstr>
  </property>
</Properties>
</file>