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5154" w:rsidR="009A3B1D" w:rsidP="000970FB" w:rsidRDefault="008C1E1C" w14:paraId="3855D1C4" w14:textId="6C764395">
      <w:pPr>
        <w:pStyle w:val="Heading1"/>
        <w:numPr>
          <w:ilvl w:val="0"/>
          <w:numId w:val="0"/>
        </w:numPr>
        <w:spacing w:before="0" w:after="0" w:line="360" w:lineRule="auto"/>
        <w:jc w:val="both"/>
        <w:rPr>
          <w:rFonts w:ascii="Verdana" w:hAnsi="Verdana"/>
          <w:b w:val="0"/>
          <w:i/>
          <w:iCs/>
          <w:sz w:val="18"/>
          <w:szCs w:val="18"/>
        </w:rPr>
      </w:pPr>
      <w:bookmarkStart w:name="OLE_LINK1" w:id="0"/>
      <w:bookmarkStart w:name="OLE_LINK2" w:id="1"/>
      <w:r>
        <w:rPr>
          <w:rFonts w:ascii="Verdana" w:hAnsi="Verdana"/>
          <w:sz w:val="18"/>
          <w:szCs w:val="18"/>
        </w:rPr>
        <w:t>F</w:t>
      </w:r>
      <w:r w:rsidRPr="00DA19A2" w:rsidR="009A3B1D">
        <w:rPr>
          <w:rFonts w:ascii="Verdana" w:hAnsi="Verdana"/>
          <w:sz w:val="18"/>
          <w:szCs w:val="18"/>
        </w:rPr>
        <w:t xml:space="preserve">iche </w:t>
      </w:r>
      <w:r w:rsidR="000054E1">
        <w:rPr>
          <w:rFonts w:ascii="Verdana" w:hAnsi="Verdana"/>
          <w:sz w:val="18"/>
          <w:szCs w:val="18"/>
        </w:rPr>
        <w:t>2</w:t>
      </w:r>
      <w:r>
        <w:rPr>
          <w:rFonts w:ascii="Verdana" w:hAnsi="Verdana"/>
          <w:sz w:val="18"/>
          <w:szCs w:val="18"/>
        </w:rPr>
        <w:t xml:space="preserve">: </w:t>
      </w:r>
      <w:r w:rsidR="007D76D5">
        <w:rPr>
          <w:rFonts w:ascii="Verdana" w:hAnsi="Verdana"/>
          <w:sz w:val="18"/>
          <w:szCs w:val="18"/>
        </w:rPr>
        <w:t xml:space="preserve">[MFK] </w:t>
      </w:r>
      <w:r w:rsidR="006D50EA">
        <w:rPr>
          <w:rFonts w:ascii="Verdana" w:hAnsi="Verdana"/>
          <w:sz w:val="18"/>
          <w:szCs w:val="18"/>
        </w:rPr>
        <w:t>L</w:t>
      </w:r>
      <w:r w:rsidR="001C1BCC">
        <w:rPr>
          <w:rFonts w:ascii="Verdana" w:hAnsi="Verdana"/>
          <w:sz w:val="18"/>
          <w:szCs w:val="18"/>
        </w:rPr>
        <w:t>anden en gebieden overzee (LGO)</w:t>
      </w:r>
      <w:r w:rsidR="006D50EA">
        <w:rPr>
          <w:rFonts w:ascii="Verdana" w:hAnsi="Verdana"/>
          <w:sz w:val="18"/>
          <w:szCs w:val="18"/>
        </w:rPr>
        <w:t>-besluit</w:t>
      </w:r>
    </w:p>
    <w:p w:rsidRPr="00DA19A2" w:rsidR="009A3B1D" w:rsidP="000970FB" w:rsidRDefault="009A3B1D" w14:paraId="4F5D2405" w14:textId="77777777">
      <w:pPr>
        <w:spacing w:line="360" w:lineRule="auto"/>
        <w:jc w:val="both"/>
        <w:rPr>
          <w:rFonts w:ascii="Verdana" w:hAnsi="Verdana"/>
          <w:sz w:val="18"/>
          <w:szCs w:val="18"/>
        </w:rPr>
      </w:pPr>
    </w:p>
    <w:p w:rsidRPr="00605154" w:rsidR="009A3B1D" w:rsidP="000970FB" w:rsidRDefault="009A3B1D" w14:paraId="433BA929" w14:textId="77777777">
      <w:pPr>
        <w:numPr>
          <w:ilvl w:val="0"/>
          <w:numId w:val="3"/>
        </w:numPr>
        <w:spacing w:line="360" w:lineRule="auto"/>
        <w:jc w:val="both"/>
        <w:rPr>
          <w:rFonts w:ascii="Verdana" w:hAnsi="Verdana"/>
          <w:b/>
          <w:bCs/>
          <w:sz w:val="18"/>
          <w:szCs w:val="18"/>
        </w:rPr>
      </w:pPr>
      <w:r w:rsidRPr="00F50F0C">
        <w:rPr>
          <w:rFonts w:ascii="Verdana" w:hAnsi="Verdana"/>
          <w:b/>
          <w:bCs/>
          <w:sz w:val="18"/>
          <w:szCs w:val="18"/>
        </w:rPr>
        <w:t>Algemene gegevens</w:t>
      </w:r>
    </w:p>
    <w:p w:rsidRPr="00605154" w:rsidR="006D50EA" w:rsidP="000970FB" w:rsidRDefault="00F74E07" w14:paraId="1C8F3462" w14:textId="7E5662C5">
      <w:pPr>
        <w:numPr>
          <w:ilvl w:val="0"/>
          <w:numId w:val="4"/>
        </w:numPr>
        <w:spacing w:line="360" w:lineRule="auto"/>
        <w:jc w:val="both"/>
        <w:rPr>
          <w:rFonts w:ascii="Verdana" w:hAnsi="Verdana"/>
          <w:i/>
          <w:iCs/>
          <w:sz w:val="18"/>
          <w:szCs w:val="18"/>
        </w:rPr>
      </w:pPr>
      <w:r w:rsidRPr="6C090062">
        <w:rPr>
          <w:rFonts w:ascii="Verdana" w:hAnsi="Verdana"/>
          <w:i/>
          <w:iCs/>
          <w:sz w:val="18"/>
          <w:szCs w:val="18"/>
        </w:rPr>
        <w:t>Titel voorstel</w:t>
      </w:r>
    </w:p>
    <w:p w:rsidRPr="00164E64" w:rsidR="006D50EA" w:rsidP="001D7BAF" w:rsidRDefault="006D50EA" w14:paraId="5E59C7F7" w14:textId="31AD17D3">
      <w:pPr>
        <w:spacing w:line="360" w:lineRule="auto"/>
        <w:ind w:left="360"/>
        <w:rPr>
          <w:rFonts w:ascii="Verdana" w:hAnsi="Verdana"/>
          <w:sz w:val="18"/>
          <w:szCs w:val="18"/>
          <w:lang w:val="en-US"/>
        </w:rPr>
      </w:pPr>
      <w:r w:rsidRPr="006D50EA">
        <w:rPr>
          <w:rFonts w:ascii="Verdana" w:hAnsi="Verdana"/>
          <w:sz w:val="18"/>
          <w:szCs w:val="18"/>
          <w:lang w:val="en-US"/>
        </w:rPr>
        <w:t>Proposal for a Council Decision on the Association of the Overseas Countries and Territories with the European Union including relations between the European Union on the one hand, and Greenland and the Kingdom of Denmark on the other</w:t>
      </w:r>
      <w:r w:rsidR="000D41ED">
        <w:rPr>
          <w:rFonts w:ascii="Verdana" w:hAnsi="Verdana"/>
          <w:sz w:val="18"/>
          <w:szCs w:val="18"/>
          <w:lang w:val="en-US"/>
        </w:rPr>
        <w:br/>
      </w:r>
    </w:p>
    <w:p w:rsidRPr="00605154" w:rsidR="00F74E07" w:rsidP="001D7BAF" w:rsidRDefault="00F74E07" w14:paraId="2EBC1C57" w14:textId="77777777">
      <w:pPr>
        <w:numPr>
          <w:ilvl w:val="0"/>
          <w:numId w:val="4"/>
        </w:numPr>
        <w:spacing w:line="360" w:lineRule="auto"/>
        <w:rPr>
          <w:rFonts w:ascii="Verdana" w:hAnsi="Verdana"/>
          <w:i/>
          <w:iCs/>
          <w:sz w:val="18"/>
          <w:szCs w:val="18"/>
        </w:rPr>
      </w:pPr>
      <w:r w:rsidRPr="6C090062">
        <w:rPr>
          <w:rFonts w:ascii="Verdana" w:hAnsi="Verdana"/>
          <w:i/>
          <w:iCs/>
          <w:sz w:val="18"/>
          <w:szCs w:val="18"/>
        </w:rPr>
        <w:t>Datum ontvangst Commissiedocument</w:t>
      </w:r>
    </w:p>
    <w:p w:rsidRPr="006D50EA" w:rsidR="006D50EA" w:rsidP="001D7BAF" w:rsidRDefault="006D50EA" w14:paraId="3DA62A03" w14:textId="5E219896">
      <w:pPr>
        <w:spacing w:line="360" w:lineRule="auto"/>
        <w:ind w:left="360"/>
        <w:rPr>
          <w:rFonts w:ascii="Verdana" w:hAnsi="Verdana"/>
          <w:sz w:val="18"/>
          <w:szCs w:val="18"/>
        </w:rPr>
      </w:pPr>
      <w:r>
        <w:rPr>
          <w:rFonts w:ascii="Verdana" w:hAnsi="Verdana"/>
          <w:sz w:val="18"/>
          <w:szCs w:val="18"/>
        </w:rPr>
        <w:t>3 september 2025</w:t>
      </w:r>
      <w:r w:rsidR="000D41ED">
        <w:rPr>
          <w:rFonts w:ascii="Verdana" w:hAnsi="Verdana"/>
          <w:sz w:val="18"/>
          <w:szCs w:val="18"/>
        </w:rPr>
        <w:br/>
      </w:r>
    </w:p>
    <w:p w:rsidRPr="00605154" w:rsidR="00F74E07" w:rsidP="000970FB" w:rsidRDefault="00F74E07" w14:paraId="019813B8" w14:textId="77777777">
      <w:pPr>
        <w:numPr>
          <w:ilvl w:val="0"/>
          <w:numId w:val="4"/>
        </w:numPr>
        <w:spacing w:line="360" w:lineRule="auto"/>
        <w:jc w:val="both"/>
        <w:rPr>
          <w:rFonts w:ascii="Verdana" w:hAnsi="Verdana"/>
          <w:i/>
          <w:iCs/>
          <w:sz w:val="18"/>
          <w:szCs w:val="18"/>
        </w:rPr>
      </w:pPr>
      <w:r w:rsidRPr="6C090062">
        <w:rPr>
          <w:rFonts w:ascii="Verdana" w:hAnsi="Verdana"/>
          <w:i/>
          <w:iCs/>
          <w:sz w:val="18"/>
          <w:szCs w:val="18"/>
        </w:rPr>
        <w:t>Nr. Commissiedocument</w:t>
      </w:r>
    </w:p>
    <w:p w:rsidRPr="006D50EA" w:rsidR="006D50EA" w:rsidP="000970FB" w:rsidRDefault="006D50EA" w14:paraId="050D4C65" w14:textId="2101C830">
      <w:pPr>
        <w:spacing w:line="360" w:lineRule="auto"/>
        <w:ind w:left="360"/>
        <w:jc w:val="both"/>
        <w:rPr>
          <w:rFonts w:ascii="Verdana" w:hAnsi="Verdana"/>
          <w:sz w:val="18"/>
          <w:szCs w:val="18"/>
        </w:rPr>
      </w:pPr>
      <w:r>
        <w:rPr>
          <w:rFonts w:ascii="Verdana" w:hAnsi="Verdana"/>
          <w:sz w:val="18"/>
          <w:szCs w:val="18"/>
        </w:rPr>
        <w:t>COM_2025_599_1</w:t>
      </w:r>
      <w:r w:rsidR="000D41ED">
        <w:rPr>
          <w:rFonts w:ascii="Verdana" w:hAnsi="Verdana"/>
          <w:sz w:val="18"/>
          <w:szCs w:val="18"/>
        </w:rPr>
        <w:br/>
      </w:r>
    </w:p>
    <w:p w:rsidRPr="00605154" w:rsidR="00F74E07" w:rsidP="000970FB" w:rsidRDefault="00C85F76" w14:paraId="423932B7" w14:textId="77777777">
      <w:pPr>
        <w:numPr>
          <w:ilvl w:val="0"/>
          <w:numId w:val="4"/>
        </w:numPr>
        <w:spacing w:line="360" w:lineRule="auto"/>
        <w:jc w:val="both"/>
        <w:rPr>
          <w:rFonts w:ascii="Verdana" w:hAnsi="Verdana"/>
          <w:i/>
          <w:iCs/>
          <w:sz w:val="18"/>
          <w:szCs w:val="18"/>
        </w:rPr>
      </w:pPr>
      <w:r w:rsidRPr="6C090062">
        <w:rPr>
          <w:rFonts w:ascii="Verdana" w:hAnsi="Verdana"/>
          <w:i/>
          <w:iCs/>
          <w:sz w:val="18"/>
          <w:szCs w:val="18"/>
        </w:rPr>
        <w:t>EUR</w:t>
      </w:r>
      <w:r w:rsidRPr="6C090062" w:rsidR="00F74E07">
        <w:rPr>
          <w:rFonts w:ascii="Verdana" w:hAnsi="Verdana"/>
          <w:i/>
          <w:iCs/>
          <w:sz w:val="18"/>
          <w:szCs w:val="18"/>
        </w:rPr>
        <w:t>-</w:t>
      </w:r>
      <w:r w:rsidRPr="6C090062">
        <w:rPr>
          <w:rFonts w:ascii="Verdana" w:hAnsi="Verdana"/>
          <w:i/>
          <w:iCs/>
          <w:sz w:val="18"/>
          <w:szCs w:val="18"/>
        </w:rPr>
        <w:t>L</w:t>
      </w:r>
      <w:r w:rsidRPr="6C090062" w:rsidR="00F74E07">
        <w:rPr>
          <w:rFonts w:ascii="Verdana" w:hAnsi="Verdana"/>
          <w:i/>
          <w:iCs/>
          <w:sz w:val="18"/>
          <w:szCs w:val="18"/>
        </w:rPr>
        <w:t>ex</w:t>
      </w:r>
    </w:p>
    <w:p w:rsidRPr="003A2079" w:rsidR="006D50EA" w:rsidP="000970FB" w:rsidRDefault="0061622D" w14:paraId="10F31455" w14:textId="29998DC3">
      <w:pPr>
        <w:spacing w:line="360" w:lineRule="auto"/>
        <w:ind w:left="360"/>
        <w:jc w:val="both"/>
        <w:rPr>
          <w:rFonts w:ascii="Verdana" w:hAnsi="Verdana"/>
          <w:sz w:val="18"/>
          <w:szCs w:val="18"/>
        </w:rPr>
      </w:pPr>
      <w:hyperlink w:history="1" r:id="rId13">
        <w:r w:rsidRPr="003A2079">
          <w:rPr>
            <w:rStyle w:val="Hyperlink"/>
            <w:rFonts w:ascii="Verdana" w:hAnsi="Verdana"/>
            <w:sz w:val="18"/>
            <w:szCs w:val="18"/>
          </w:rPr>
          <w:t>https://eur-lex.europa.eu/legal-content/EN/TXT/HTML/?uri=COM:2025:599:FIN&amp;qid=1756980555527</w:t>
        </w:r>
      </w:hyperlink>
    </w:p>
    <w:p w:rsidRPr="0061622D" w:rsidR="0061622D" w:rsidP="000970FB" w:rsidRDefault="0061622D" w14:paraId="6D96982C" w14:textId="77777777">
      <w:pPr>
        <w:spacing w:line="360" w:lineRule="auto"/>
        <w:ind w:left="360"/>
        <w:jc w:val="both"/>
        <w:rPr>
          <w:rFonts w:ascii="Verdana" w:hAnsi="Verdana"/>
          <w:sz w:val="18"/>
          <w:szCs w:val="18"/>
        </w:rPr>
      </w:pPr>
    </w:p>
    <w:p w:rsidRPr="00605154" w:rsidR="00F74E07" w:rsidP="001D7BAF" w:rsidRDefault="00F74E07" w14:paraId="275B6B27" w14:textId="77777777">
      <w:pPr>
        <w:numPr>
          <w:ilvl w:val="0"/>
          <w:numId w:val="4"/>
        </w:numPr>
        <w:spacing w:line="360" w:lineRule="auto"/>
        <w:rPr>
          <w:rFonts w:ascii="Verdana" w:hAnsi="Verdana"/>
          <w:i/>
          <w:iCs/>
          <w:sz w:val="18"/>
          <w:szCs w:val="18"/>
        </w:rPr>
      </w:pPr>
      <w:r w:rsidRPr="6C090062">
        <w:rPr>
          <w:rFonts w:ascii="Verdana" w:hAnsi="Verdana"/>
          <w:i/>
          <w:iCs/>
          <w:sz w:val="18"/>
          <w:szCs w:val="18"/>
        </w:rPr>
        <w:t xml:space="preserve">Nr. impact assessment Commissie en Opinie </w:t>
      </w:r>
      <w:r w:rsidRPr="00F50F0C" w:rsidR="00F30C33">
        <w:rPr>
          <w:rFonts w:ascii="Verdana" w:hAnsi="Verdana"/>
          <w:i/>
          <w:iCs/>
          <w:sz w:val="18"/>
          <w:szCs w:val="18"/>
        </w:rPr>
        <w:t>Raad voor Regelgevingstoetsing</w:t>
      </w:r>
    </w:p>
    <w:p w:rsidRPr="00605154" w:rsidR="006D50EA" w:rsidP="001D7BAF" w:rsidRDefault="006D50EA" w14:paraId="3578FAD2" w14:textId="2AA85D21">
      <w:pPr>
        <w:spacing w:line="360" w:lineRule="auto"/>
        <w:ind w:left="360"/>
        <w:rPr>
          <w:rFonts w:ascii="Verdana" w:hAnsi="Verdana"/>
          <w:sz w:val="18"/>
          <w:szCs w:val="18"/>
        </w:rPr>
      </w:pPr>
      <w:r w:rsidRPr="00F50F0C">
        <w:rPr>
          <w:rFonts w:ascii="Verdana" w:hAnsi="Verdana"/>
          <w:sz w:val="18"/>
          <w:szCs w:val="18"/>
        </w:rPr>
        <w:t xml:space="preserve">SWD(2025) 625 </w:t>
      </w:r>
      <w:proofErr w:type="spellStart"/>
      <w:r w:rsidRPr="00F50F0C">
        <w:rPr>
          <w:rFonts w:ascii="Verdana" w:hAnsi="Verdana"/>
          <w:sz w:val="18"/>
          <w:szCs w:val="18"/>
        </w:rPr>
        <w:t>final</w:t>
      </w:r>
      <w:proofErr w:type="spellEnd"/>
      <w:r w:rsidR="000D41ED">
        <w:rPr>
          <w:rFonts w:ascii="Verdana" w:hAnsi="Verdana"/>
          <w:iCs/>
          <w:sz w:val="18"/>
          <w:szCs w:val="18"/>
        </w:rPr>
        <w:br/>
      </w:r>
    </w:p>
    <w:p w:rsidRPr="00605154" w:rsidR="00F74E07" w:rsidP="001D7BAF" w:rsidRDefault="00F74E07" w14:paraId="792A7FD8" w14:textId="77777777">
      <w:pPr>
        <w:numPr>
          <w:ilvl w:val="0"/>
          <w:numId w:val="4"/>
        </w:numPr>
        <w:spacing w:line="360" w:lineRule="auto"/>
        <w:rPr>
          <w:rFonts w:ascii="Verdana" w:hAnsi="Verdana"/>
          <w:i/>
          <w:iCs/>
          <w:sz w:val="18"/>
          <w:szCs w:val="18"/>
        </w:rPr>
      </w:pPr>
      <w:r w:rsidRPr="6C090062">
        <w:rPr>
          <w:rFonts w:ascii="Verdana" w:hAnsi="Verdana"/>
          <w:i/>
          <w:iCs/>
          <w:sz w:val="18"/>
          <w:szCs w:val="18"/>
        </w:rPr>
        <w:t>Behandelingstraject Raad</w:t>
      </w:r>
    </w:p>
    <w:p w:rsidRPr="006D50EA" w:rsidR="006D50EA" w:rsidP="001D7BAF" w:rsidRDefault="006D50EA" w14:paraId="295C753A" w14:textId="10AC2192">
      <w:pPr>
        <w:spacing w:line="360" w:lineRule="auto"/>
        <w:ind w:left="360"/>
        <w:rPr>
          <w:rFonts w:ascii="Verdana" w:hAnsi="Verdana"/>
          <w:sz w:val="18"/>
          <w:szCs w:val="18"/>
        </w:rPr>
      </w:pPr>
      <w:r>
        <w:rPr>
          <w:rFonts w:ascii="Verdana" w:hAnsi="Verdana"/>
          <w:sz w:val="18"/>
          <w:szCs w:val="18"/>
        </w:rPr>
        <w:t>Raad Buitenlandse Zaken</w:t>
      </w:r>
      <w:r w:rsidR="000D41ED">
        <w:rPr>
          <w:rFonts w:ascii="Verdana" w:hAnsi="Verdana"/>
          <w:sz w:val="18"/>
          <w:szCs w:val="18"/>
        </w:rPr>
        <w:br/>
      </w:r>
    </w:p>
    <w:p w:rsidRPr="00605154" w:rsidR="00330FE7" w:rsidP="001D7BAF" w:rsidRDefault="00330FE7" w14:paraId="6E778903" w14:textId="77777777">
      <w:pPr>
        <w:numPr>
          <w:ilvl w:val="0"/>
          <w:numId w:val="4"/>
        </w:numPr>
        <w:spacing w:line="360" w:lineRule="auto"/>
        <w:rPr>
          <w:rFonts w:ascii="Verdana" w:hAnsi="Verdana"/>
          <w:i/>
          <w:iCs/>
          <w:sz w:val="18"/>
          <w:szCs w:val="18"/>
        </w:rPr>
      </w:pPr>
      <w:r w:rsidRPr="6C090062">
        <w:rPr>
          <w:rFonts w:ascii="Verdana" w:hAnsi="Verdana"/>
          <w:i/>
          <w:iCs/>
          <w:sz w:val="18"/>
          <w:szCs w:val="18"/>
        </w:rPr>
        <w:t>Eerstverantwoordelijk ministerie</w:t>
      </w:r>
    </w:p>
    <w:p w:rsidRPr="006D50EA" w:rsidR="006D50EA" w:rsidP="001D7BAF" w:rsidRDefault="006D50EA" w14:paraId="4784DB9D" w14:textId="0BB69D69">
      <w:pPr>
        <w:spacing w:line="360" w:lineRule="auto"/>
        <w:ind w:left="360"/>
        <w:rPr>
          <w:rFonts w:ascii="Verdana" w:hAnsi="Verdana"/>
          <w:sz w:val="18"/>
          <w:szCs w:val="18"/>
        </w:rPr>
      </w:pPr>
      <w:r>
        <w:rPr>
          <w:rFonts w:ascii="Verdana" w:hAnsi="Verdana"/>
          <w:sz w:val="18"/>
          <w:szCs w:val="18"/>
        </w:rPr>
        <w:t>Ministerie van Binnenlandse Zaken en Koninkrijksrelaties</w:t>
      </w:r>
      <w:r w:rsidR="000D41ED">
        <w:rPr>
          <w:rFonts w:ascii="Verdana" w:hAnsi="Verdana"/>
          <w:sz w:val="18"/>
          <w:szCs w:val="18"/>
        </w:rPr>
        <w:br/>
      </w:r>
    </w:p>
    <w:p w:rsidRPr="00605154" w:rsidR="00330FE7" w:rsidP="000970FB" w:rsidRDefault="00330FE7" w14:paraId="7AD0288E" w14:textId="77777777">
      <w:pPr>
        <w:numPr>
          <w:ilvl w:val="0"/>
          <w:numId w:val="4"/>
        </w:numPr>
        <w:spacing w:line="360" w:lineRule="auto"/>
        <w:jc w:val="both"/>
        <w:rPr>
          <w:rFonts w:ascii="Verdana" w:hAnsi="Verdana"/>
          <w:i/>
          <w:iCs/>
          <w:sz w:val="18"/>
          <w:szCs w:val="18"/>
        </w:rPr>
      </w:pPr>
      <w:r w:rsidRPr="6C090062">
        <w:rPr>
          <w:rFonts w:ascii="Verdana" w:hAnsi="Verdana"/>
          <w:i/>
          <w:iCs/>
          <w:sz w:val="18"/>
          <w:szCs w:val="18"/>
        </w:rPr>
        <w:t>Rechtsbasis</w:t>
      </w:r>
    </w:p>
    <w:p w:rsidRPr="006D50EA" w:rsidR="006D50EA" w:rsidP="00263468" w:rsidRDefault="006D50EA" w14:paraId="033A1367" w14:textId="06206C32">
      <w:pPr>
        <w:spacing w:line="360" w:lineRule="auto"/>
        <w:ind w:left="360"/>
        <w:rPr>
          <w:rFonts w:ascii="Verdana" w:hAnsi="Verdana"/>
          <w:sz w:val="18"/>
          <w:szCs w:val="18"/>
        </w:rPr>
      </w:pPr>
      <w:r>
        <w:rPr>
          <w:rFonts w:ascii="Verdana" w:hAnsi="Verdana"/>
          <w:sz w:val="18"/>
          <w:szCs w:val="18"/>
        </w:rPr>
        <w:t xml:space="preserve">Artikel 203 VWEU </w:t>
      </w:r>
      <w:r w:rsidR="000D41ED">
        <w:rPr>
          <w:rFonts w:ascii="Verdana" w:hAnsi="Verdana"/>
          <w:sz w:val="18"/>
          <w:szCs w:val="18"/>
        </w:rPr>
        <w:br/>
      </w:r>
    </w:p>
    <w:p w:rsidRPr="00605154" w:rsidR="00330FE7" w:rsidP="000970FB" w:rsidRDefault="00330FE7" w14:paraId="1EB0C227" w14:textId="77777777">
      <w:pPr>
        <w:numPr>
          <w:ilvl w:val="0"/>
          <w:numId w:val="4"/>
        </w:numPr>
        <w:spacing w:line="360" w:lineRule="auto"/>
        <w:jc w:val="both"/>
        <w:rPr>
          <w:rFonts w:ascii="Verdana" w:hAnsi="Verdana"/>
          <w:i/>
          <w:iCs/>
          <w:sz w:val="18"/>
          <w:szCs w:val="18"/>
        </w:rPr>
      </w:pPr>
      <w:r w:rsidRPr="6C090062">
        <w:rPr>
          <w:rFonts w:ascii="Verdana" w:hAnsi="Verdana"/>
          <w:i/>
          <w:iCs/>
          <w:sz w:val="18"/>
          <w:szCs w:val="18"/>
        </w:rPr>
        <w:t>Besluitvormingsprocedure Raad</w:t>
      </w:r>
    </w:p>
    <w:p w:rsidRPr="006D50EA" w:rsidR="006D50EA" w:rsidP="000970FB" w:rsidRDefault="006D50EA" w14:paraId="364724DE" w14:textId="39FF2AB6">
      <w:pPr>
        <w:spacing w:line="360" w:lineRule="auto"/>
        <w:ind w:left="360"/>
        <w:jc w:val="both"/>
        <w:rPr>
          <w:rFonts w:ascii="Verdana" w:hAnsi="Verdana"/>
          <w:sz w:val="18"/>
          <w:szCs w:val="18"/>
        </w:rPr>
      </w:pPr>
      <w:r>
        <w:rPr>
          <w:rFonts w:ascii="Verdana" w:hAnsi="Verdana"/>
          <w:sz w:val="18"/>
          <w:szCs w:val="18"/>
        </w:rPr>
        <w:t>Eenparigheid</w:t>
      </w:r>
      <w:r w:rsidR="000D41ED">
        <w:rPr>
          <w:rFonts w:ascii="Verdana" w:hAnsi="Verdana"/>
          <w:sz w:val="18"/>
          <w:szCs w:val="18"/>
        </w:rPr>
        <w:br/>
      </w:r>
    </w:p>
    <w:p w:rsidRPr="00605154" w:rsidR="00330FE7" w:rsidP="000970FB" w:rsidRDefault="00330FE7" w14:paraId="7E1521AA" w14:textId="77777777">
      <w:pPr>
        <w:numPr>
          <w:ilvl w:val="0"/>
          <w:numId w:val="4"/>
        </w:numPr>
        <w:spacing w:line="360" w:lineRule="auto"/>
        <w:jc w:val="both"/>
        <w:rPr>
          <w:rFonts w:ascii="Verdana" w:hAnsi="Verdana"/>
          <w:i/>
          <w:iCs/>
          <w:sz w:val="18"/>
          <w:szCs w:val="18"/>
        </w:rPr>
      </w:pPr>
      <w:r w:rsidRPr="6C090062">
        <w:rPr>
          <w:rFonts w:ascii="Verdana" w:hAnsi="Verdana"/>
          <w:i/>
          <w:iCs/>
          <w:sz w:val="18"/>
          <w:szCs w:val="18"/>
        </w:rPr>
        <w:t>Rol Europees Parlement</w:t>
      </w:r>
    </w:p>
    <w:p w:rsidRPr="006D50EA" w:rsidR="006D50EA" w:rsidP="000970FB" w:rsidRDefault="006D50EA" w14:paraId="33FA6F57" w14:textId="6890E62C">
      <w:pPr>
        <w:spacing w:line="360" w:lineRule="auto"/>
        <w:ind w:left="360"/>
        <w:jc w:val="both"/>
        <w:rPr>
          <w:rFonts w:ascii="Verdana" w:hAnsi="Verdana"/>
          <w:sz w:val="18"/>
          <w:szCs w:val="18"/>
        </w:rPr>
      </w:pPr>
      <w:r>
        <w:rPr>
          <w:rFonts w:ascii="Verdana" w:hAnsi="Verdana"/>
          <w:sz w:val="18"/>
          <w:szCs w:val="18"/>
        </w:rPr>
        <w:t>Raadpleging</w:t>
      </w:r>
    </w:p>
    <w:p w:rsidRPr="00DA19A2" w:rsidR="009A3B1D" w:rsidP="000970FB" w:rsidRDefault="009A3B1D" w14:paraId="0BB96C40" w14:textId="77777777">
      <w:pPr>
        <w:spacing w:line="360" w:lineRule="auto"/>
        <w:jc w:val="both"/>
        <w:rPr>
          <w:rFonts w:ascii="Verdana" w:hAnsi="Verdana"/>
          <w:b/>
          <w:sz w:val="18"/>
          <w:szCs w:val="18"/>
        </w:rPr>
      </w:pPr>
    </w:p>
    <w:p w:rsidRPr="00605154" w:rsidR="00CB7FF8" w:rsidP="000970FB" w:rsidRDefault="00E539A8" w14:paraId="637A7F88" w14:textId="77777777">
      <w:pPr>
        <w:numPr>
          <w:ilvl w:val="0"/>
          <w:numId w:val="3"/>
        </w:numPr>
        <w:spacing w:line="360" w:lineRule="auto"/>
        <w:jc w:val="both"/>
        <w:rPr>
          <w:rFonts w:ascii="Verdana" w:hAnsi="Verdana"/>
          <w:b/>
          <w:bCs/>
          <w:sz w:val="18"/>
          <w:szCs w:val="18"/>
        </w:rPr>
      </w:pPr>
      <w:r w:rsidRPr="00F50F0C">
        <w:rPr>
          <w:rFonts w:ascii="Verdana" w:hAnsi="Verdana"/>
          <w:b/>
          <w:bCs/>
          <w:sz w:val="18"/>
          <w:szCs w:val="18"/>
        </w:rPr>
        <w:t>Essentie</w:t>
      </w:r>
      <w:r w:rsidRPr="00F50F0C" w:rsidR="00CB7FF8">
        <w:rPr>
          <w:rFonts w:ascii="Verdana" w:hAnsi="Verdana"/>
          <w:b/>
          <w:bCs/>
          <w:sz w:val="18"/>
          <w:szCs w:val="18"/>
        </w:rPr>
        <w:t xml:space="preserve"> voorstel </w:t>
      </w:r>
    </w:p>
    <w:p w:rsidRPr="00605154" w:rsidR="00CB7FF8" w:rsidP="000970FB" w:rsidRDefault="00CB7FF8" w14:paraId="6D7B6BA8" w14:textId="77777777">
      <w:pPr>
        <w:pStyle w:val="Spreekpunten"/>
        <w:numPr>
          <w:ilvl w:val="0"/>
          <w:numId w:val="5"/>
        </w:numPr>
        <w:jc w:val="both"/>
        <w:rPr>
          <w:rFonts w:ascii="Verdana" w:hAnsi="Verdana"/>
          <w:i/>
          <w:iCs/>
          <w:sz w:val="18"/>
          <w:szCs w:val="18"/>
          <w:lang w:val="nl-NL" w:eastAsia="zh-CN"/>
        </w:rPr>
      </w:pPr>
      <w:r w:rsidRPr="6C090062">
        <w:rPr>
          <w:rFonts w:ascii="Verdana" w:hAnsi="Verdana"/>
          <w:i/>
          <w:iCs/>
          <w:sz w:val="18"/>
          <w:szCs w:val="18"/>
          <w:lang w:val="nl-NL" w:eastAsia="zh-CN"/>
        </w:rPr>
        <w:t>Inhoud voorstel</w:t>
      </w:r>
    </w:p>
    <w:p w:rsidRPr="00605154" w:rsidR="006D50EA" w:rsidP="000970FB" w:rsidRDefault="000D41ED" w14:paraId="3EC9E1A3" w14:textId="0A742116">
      <w:pPr>
        <w:pStyle w:val="Basis"/>
        <w:spacing w:line="360" w:lineRule="auto"/>
        <w:jc w:val="both"/>
        <w:rPr>
          <w:rFonts w:ascii="Verdana" w:hAnsi="Verdana"/>
          <w:kern w:val="0"/>
          <w:lang w:eastAsia="zh-CN"/>
        </w:rPr>
      </w:pPr>
      <w:r w:rsidRPr="00F50F0C">
        <w:rPr>
          <w:rFonts w:ascii="Verdana" w:hAnsi="Verdana"/>
          <w:kern w:val="0"/>
          <w:lang w:eastAsia="zh-CN"/>
        </w:rPr>
        <w:t xml:space="preserve">Op 3 september 2025 publiceerde de Europese Commissie (hierna: Commissie) het voorstel tot </w:t>
      </w:r>
      <w:r w:rsidR="00F50F0C">
        <w:rPr>
          <w:rFonts w:ascii="Verdana" w:hAnsi="Verdana"/>
          <w:kern w:val="0"/>
          <w:lang w:eastAsia="zh-CN"/>
        </w:rPr>
        <w:t>wijziging</w:t>
      </w:r>
      <w:r w:rsidRPr="00F50F0C" w:rsidR="00F50F0C">
        <w:rPr>
          <w:rFonts w:ascii="Verdana" w:hAnsi="Verdana"/>
          <w:kern w:val="0"/>
          <w:lang w:eastAsia="zh-CN"/>
        </w:rPr>
        <w:t xml:space="preserve"> </w:t>
      </w:r>
      <w:r w:rsidRPr="00F50F0C">
        <w:rPr>
          <w:rFonts w:ascii="Verdana" w:hAnsi="Verdana"/>
          <w:kern w:val="0"/>
          <w:lang w:eastAsia="zh-CN"/>
        </w:rPr>
        <w:t>van het bestaande Landen en Gebieden Overzee (LGO)-besluit</w:t>
      </w:r>
      <w:r w:rsidR="00F50F0C">
        <w:rPr>
          <w:rFonts w:ascii="Verdana" w:hAnsi="Verdana"/>
          <w:kern w:val="0"/>
          <w:lang w:eastAsia="zh-CN"/>
        </w:rPr>
        <w:t xml:space="preserve"> 2021/1764</w:t>
      </w:r>
      <w:r w:rsidRPr="00F50F0C">
        <w:rPr>
          <w:rFonts w:ascii="Verdana" w:hAnsi="Verdana"/>
          <w:kern w:val="0"/>
          <w:lang w:eastAsia="zh-CN"/>
        </w:rPr>
        <w:t xml:space="preserve"> (hierna: het voorstel), als onderdeel van </w:t>
      </w:r>
      <w:r w:rsidRPr="00F50F0C" w:rsidR="00220B61">
        <w:rPr>
          <w:rFonts w:ascii="Verdana" w:hAnsi="Verdana"/>
          <w:kern w:val="0"/>
          <w:lang w:eastAsia="zh-CN"/>
        </w:rPr>
        <w:t xml:space="preserve">het </w:t>
      </w:r>
      <w:r w:rsidRPr="00F50F0C">
        <w:rPr>
          <w:rFonts w:ascii="Verdana" w:hAnsi="Verdana"/>
          <w:kern w:val="0"/>
          <w:lang w:eastAsia="zh-CN"/>
        </w:rPr>
        <w:t>voorgestelde pakket voor het nieuwe Meerjarig Financieel Kader (MFK) 2028</w:t>
      </w:r>
      <w:r w:rsidRPr="00F50F0C" w:rsidR="00256A6C">
        <w:rPr>
          <w:rFonts w:ascii="Verdana" w:hAnsi="Verdana"/>
          <w:kern w:val="0"/>
          <w:lang w:eastAsia="zh-CN"/>
        </w:rPr>
        <w:t>-</w:t>
      </w:r>
      <w:r w:rsidRPr="00F50F0C">
        <w:rPr>
          <w:rFonts w:ascii="Verdana" w:hAnsi="Verdana"/>
          <w:kern w:val="0"/>
          <w:lang w:eastAsia="zh-CN"/>
        </w:rPr>
        <w:t>2034</w:t>
      </w:r>
      <w:r w:rsidRPr="00F50F0C" w:rsidR="006D50EA">
        <w:rPr>
          <w:rFonts w:ascii="Verdana" w:hAnsi="Verdana"/>
          <w:kern w:val="0"/>
          <w:lang w:eastAsia="zh-CN"/>
        </w:rPr>
        <w:t xml:space="preserve">. Dit is een financieel instrument voor zowel Groenland als de andere </w:t>
      </w:r>
      <w:r w:rsidRPr="00F50F0C" w:rsidR="00D45DCF">
        <w:rPr>
          <w:rFonts w:ascii="Verdana" w:hAnsi="Verdana"/>
          <w:kern w:val="0"/>
          <w:lang w:eastAsia="zh-CN"/>
        </w:rPr>
        <w:t>LGO</w:t>
      </w:r>
      <w:r w:rsidRPr="00F50F0C" w:rsidR="006D50EA">
        <w:rPr>
          <w:rFonts w:ascii="Verdana" w:hAnsi="Verdana"/>
          <w:kern w:val="0"/>
          <w:lang w:eastAsia="zh-CN"/>
        </w:rPr>
        <w:t xml:space="preserve"> van </w:t>
      </w:r>
      <w:r w:rsidRPr="00F50F0C" w:rsidR="006D50EA">
        <w:rPr>
          <w:rFonts w:ascii="Verdana" w:hAnsi="Verdana"/>
          <w:kern w:val="0"/>
          <w:lang w:eastAsia="zh-CN"/>
        </w:rPr>
        <w:lastRenderedPageBreak/>
        <w:t xml:space="preserve">Frankrijk en Nederland. Eén van de prioriteiten van dit nieuwe MFK is om de steun aan de </w:t>
      </w:r>
      <w:r w:rsidRPr="00F50F0C" w:rsidR="00D45DCF">
        <w:rPr>
          <w:rFonts w:ascii="Verdana" w:hAnsi="Verdana"/>
          <w:kern w:val="0"/>
          <w:lang w:eastAsia="zh-CN"/>
        </w:rPr>
        <w:t>LGO</w:t>
      </w:r>
      <w:r w:rsidRPr="00F50F0C" w:rsidR="006D50EA">
        <w:rPr>
          <w:rFonts w:ascii="Verdana" w:hAnsi="Verdana"/>
          <w:kern w:val="0"/>
          <w:lang w:eastAsia="zh-CN"/>
        </w:rPr>
        <w:t xml:space="preserve"> uit te breiden.</w:t>
      </w:r>
      <w:r w:rsidRPr="00F50F0C" w:rsidR="006D50EA">
        <w:rPr>
          <w:rStyle w:val="FootnoteReference"/>
          <w:rFonts w:ascii="Verdana" w:hAnsi="Verdana"/>
          <w:kern w:val="0"/>
          <w:lang w:eastAsia="zh-CN"/>
        </w:rPr>
        <w:footnoteReference w:id="2"/>
      </w:r>
    </w:p>
    <w:p w:rsidR="00ED491C" w:rsidP="000970FB" w:rsidRDefault="00ED491C" w14:paraId="46436050" w14:textId="77777777">
      <w:pPr>
        <w:pStyle w:val="Basis"/>
        <w:spacing w:line="360" w:lineRule="auto"/>
        <w:jc w:val="both"/>
        <w:rPr>
          <w:rFonts w:ascii="Verdana" w:hAnsi="Verdana"/>
          <w:bCs/>
          <w:kern w:val="0"/>
          <w:szCs w:val="18"/>
          <w:lang w:eastAsia="zh-CN"/>
        </w:rPr>
      </w:pPr>
    </w:p>
    <w:p w:rsidRPr="00605154" w:rsidR="00022FA4" w:rsidP="000970FB" w:rsidRDefault="00022FA4" w14:paraId="237F49CB" w14:textId="52451336">
      <w:pPr>
        <w:pStyle w:val="Basis"/>
        <w:spacing w:line="360" w:lineRule="auto"/>
        <w:jc w:val="both"/>
        <w:rPr>
          <w:rFonts w:ascii="Verdana" w:hAnsi="Verdana"/>
          <w:kern w:val="0"/>
          <w:lang w:eastAsia="zh-CN"/>
        </w:rPr>
      </w:pPr>
      <w:r w:rsidRPr="00F50F0C">
        <w:rPr>
          <w:rFonts w:ascii="Verdana" w:hAnsi="Verdana"/>
          <w:kern w:val="0"/>
          <w:lang w:eastAsia="zh-CN"/>
        </w:rPr>
        <w:t xml:space="preserve">Aruba, Bonaire, Curaçao, Saba, Sint Eustatius en Sint Maarten zijn allen onderdeel van het Koninkrijk </w:t>
      </w:r>
      <w:r w:rsidRPr="00F50F0C" w:rsidR="000D41ED">
        <w:rPr>
          <w:rFonts w:ascii="Verdana" w:hAnsi="Verdana"/>
          <w:kern w:val="0"/>
          <w:lang w:eastAsia="zh-CN"/>
        </w:rPr>
        <w:t xml:space="preserve">der </w:t>
      </w:r>
      <w:r w:rsidRPr="00F50F0C">
        <w:rPr>
          <w:rFonts w:ascii="Verdana" w:hAnsi="Verdana"/>
          <w:kern w:val="0"/>
          <w:lang w:eastAsia="zh-CN"/>
        </w:rPr>
        <w:t>Nederland</w:t>
      </w:r>
      <w:r w:rsidRPr="00F50F0C" w:rsidR="000D41ED">
        <w:rPr>
          <w:rFonts w:ascii="Verdana" w:hAnsi="Verdana"/>
          <w:kern w:val="0"/>
          <w:lang w:eastAsia="zh-CN"/>
        </w:rPr>
        <w:t>en</w:t>
      </w:r>
      <w:r w:rsidRPr="00F50F0C">
        <w:rPr>
          <w:rFonts w:ascii="Verdana" w:hAnsi="Verdana"/>
          <w:kern w:val="0"/>
          <w:lang w:eastAsia="zh-CN"/>
        </w:rPr>
        <w:t xml:space="preserve">. Hierdoor hebben zij de status van LGO. Aruba, Curaçao en Sint Maarten zijn autonome landen binnen het Koninkrijk; Bonaire, Saba en Sint Eustatius zijn als openbare lichamen onderdeel van het land Nederland. Het verschil in constitutionele status binnen het Koninkrijk speelt in EU verband geen rol. </w:t>
      </w:r>
    </w:p>
    <w:p w:rsidRPr="00022FA4" w:rsidR="0011207F" w:rsidP="000970FB" w:rsidRDefault="0011207F" w14:paraId="65B43FB3" w14:textId="77777777">
      <w:pPr>
        <w:pStyle w:val="Basis"/>
        <w:spacing w:line="360" w:lineRule="auto"/>
        <w:jc w:val="both"/>
        <w:rPr>
          <w:rFonts w:ascii="Verdana" w:hAnsi="Verdana"/>
          <w:iCs/>
          <w:kern w:val="0"/>
          <w:szCs w:val="18"/>
          <w:lang w:eastAsia="zh-CN"/>
        </w:rPr>
      </w:pPr>
    </w:p>
    <w:p w:rsidRPr="00605154" w:rsidR="006D50EA" w:rsidP="000970FB" w:rsidRDefault="006D50EA" w14:paraId="61E20374" w14:textId="71E8E01A">
      <w:pPr>
        <w:pStyle w:val="Basis"/>
        <w:spacing w:line="360" w:lineRule="auto"/>
        <w:jc w:val="both"/>
        <w:rPr>
          <w:rFonts w:ascii="Verdana" w:hAnsi="Verdana"/>
          <w:kern w:val="0"/>
          <w:lang w:eastAsia="zh-CN"/>
        </w:rPr>
      </w:pPr>
      <w:r w:rsidRPr="00F50F0C">
        <w:rPr>
          <w:rFonts w:ascii="Verdana" w:hAnsi="Verdana"/>
          <w:kern w:val="0"/>
          <w:lang w:eastAsia="zh-CN"/>
        </w:rPr>
        <w:t>De structuur van het voorstel voor het LGO-besluit is grotendeel</w:t>
      </w:r>
      <w:r w:rsidRPr="00F50F0C" w:rsidR="6C090062">
        <w:rPr>
          <w:rFonts w:ascii="Verdana" w:hAnsi="Verdana"/>
          <w:kern w:val="0"/>
          <w:lang w:eastAsia="zh-CN"/>
        </w:rPr>
        <w:t>s</w:t>
      </w:r>
      <w:r w:rsidRPr="00F50F0C">
        <w:rPr>
          <w:rFonts w:ascii="Verdana" w:hAnsi="Verdana"/>
          <w:kern w:val="0"/>
          <w:lang w:eastAsia="zh-CN"/>
        </w:rPr>
        <w:t xml:space="preserve"> hetzelfde gebleven in vergelijking met het bestaande LGO-besluit</w:t>
      </w:r>
      <w:r w:rsidRPr="00F50F0C" w:rsidR="0075266E">
        <w:rPr>
          <w:rFonts w:ascii="Verdana" w:hAnsi="Verdana"/>
          <w:kern w:val="0"/>
          <w:lang w:eastAsia="zh-CN"/>
        </w:rPr>
        <w:t>.</w:t>
      </w:r>
      <w:r w:rsidRPr="00F50F0C">
        <w:rPr>
          <w:rStyle w:val="FootnoteReference"/>
          <w:rFonts w:ascii="Verdana" w:hAnsi="Verdana"/>
          <w:kern w:val="0"/>
          <w:lang w:eastAsia="zh-CN"/>
        </w:rPr>
        <w:footnoteReference w:id="3"/>
      </w:r>
      <w:r w:rsidRPr="00F50F0C">
        <w:rPr>
          <w:rFonts w:ascii="Verdana" w:hAnsi="Verdana"/>
          <w:kern w:val="0"/>
          <w:lang w:eastAsia="zh-CN"/>
        </w:rPr>
        <w:t xml:space="preserve"> Deze is gebaseerd op drie pijlers: politiek, handel en financiële samenwerking. De aanpassingen, voortkomend uit de door de Commissie uitgevoerde ex-ante evaluatie van het huidige LGO-besluit, richten zich op (1) het stimuleren van de strategische investeringsagenda binnen de </w:t>
      </w:r>
      <w:r w:rsidRPr="007D76D5">
        <w:rPr>
          <w:rFonts w:ascii="Verdana" w:hAnsi="Verdana"/>
          <w:i/>
          <w:iCs/>
          <w:kern w:val="0"/>
          <w:lang w:eastAsia="zh-CN"/>
        </w:rPr>
        <w:t>Global Gateway</w:t>
      </w:r>
      <w:r w:rsidRPr="00F50F0C">
        <w:rPr>
          <w:rFonts w:ascii="Verdana" w:hAnsi="Verdana"/>
          <w:kern w:val="0"/>
          <w:lang w:eastAsia="zh-CN"/>
        </w:rPr>
        <w:t xml:space="preserve"> strategie, (2) het versterken van de samenhang met de bredere EU-financieringsarchitectuur en (3) het aanbrengen van meer focus en het verbeteren van de dialoog-structuur met de </w:t>
      </w:r>
      <w:r w:rsidRPr="00F50F0C" w:rsidR="00D45DCF">
        <w:rPr>
          <w:rFonts w:ascii="Verdana" w:hAnsi="Verdana"/>
          <w:kern w:val="0"/>
          <w:lang w:eastAsia="zh-CN"/>
        </w:rPr>
        <w:t>LGO</w:t>
      </w:r>
      <w:r w:rsidRPr="00F50F0C">
        <w:rPr>
          <w:rFonts w:ascii="Verdana" w:hAnsi="Verdana"/>
          <w:kern w:val="0"/>
          <w:lang w:eastAsia="zh-CN"/>
        </w:rPr>
        <w:t>.</w:t>
      </w:r>
    </w:p>
    <w:p w:rsidRPr="006D50EA" w:rsidR="00ED491C" w:rsidP="000970FB" w:rsidRDefault="00ED491C" w14:paraId="607A7395" w14:textId="77777777">
      <w:pPr>
        <w:pStyle w:val="Basis"/>
        <w:spacing w:line="360" w:lineRule="auto"/>
        <w:jc w:val="both"/>
        <w:rPr>
          <w:rFonts w:ascii="Verdana" w:hAnsi="Verdana"/>
          <w:bCs/>
          <w:kern w:val="0"/>
          <w:szCs w:val="18"/>
          <w:lang w:eastAsia="zh-CN"/>
        </w:rPr>
      </w:pPr>
    </w:p>
    <w:p w:rsidRPr="00605154" w:rsidR="006D50EA" w:rsidP="000970FB" w:rsidRDefault="006D50EA" w14:paraId="36AB5FCB" w14:textId="2E0D277E">
      <w:pPr>
        <w:pStyle w:val="Basis"/>
        <w:spacing w:line="360" w:lineRule="auto"/>
        <w:jc w:val="both"/>
        <w:rPr>
          <w:rFonts w:ascii="Verdana" w:hAnsi="Verdana"/>
          <w:kern w:val="0"/>
          <w:lang w:eastAsia="zh-CN"/>
        </w:rPr>
      </w:pPr>
      <w:r w:rsidRPr="00F50F0C">
        <w:rPr>
          <w:rFonts w:ascii="Verdana" w:hAnsi="Verdana"/>
          <w:kern w:val="0"/>
          <w:lang w:eastAsia="zh-CN"/>
        </w:rPr>
        <w:t xml:space="preserve">Om het EU-LGO partnerschap verder in overeenstemming te brengen met de </w:t>
      </w:r>
      <w:r w:rsidRPr="007D76D5">
        <w:rPr>
          <w:rFonts w:ascii="Verdana" w:hAnsi="Verdana"/>
          <w:i/>
          <w:iCs/>
          <w:kern w:val="0"/>
          <w:lang w:eastAsia="zh-CN"/>
        </w:rPr>
        <w:t>Global Gateway</w:t>
      </w:r>
      <w:r w:rsidRPr="00F50F0C">
        <w:rPr>
          <w:rFonts w:ascii="Verdana" w:hAnsi="Verdana"/>
          <w:kern w:val="0"/>
          <w:lang w:eastAsia="zh-CN"/>
        </w:rPr>
        <w:t xml:space="preserve"> strategie worden de territoriale en regionale envelop in het nieuwe LGO-besluit samengevoegd. Hiermee wordt de </w:t>
      </w:r>
      <w:r w:rsidRPr="00F50F0C" w:rsidR="00D45DCF">
        <w:rPr>
          <w:rFonts w:ascii="Verdana" w:hAnsi="Verdana"/>
          <w:kern w:val="0"/>
          <w:lang w:eastAsia="zh-CN"/>
        </w:rPr>
        <w:t>LGO</w:t>
      </w:r>
      <w:r w:rsidRPr="00F50F0C">
        <w:rPr>
          <w:rFonts w:ascii="Verdana" w:hAnsi="Verdana"/>
          <w:kern w:val="0"/>
          <w:lang w:eastAsia="zh-CN"/>
        </w:rPr>
        <w:t xml:space="preserve"> de mogelijkheid gegeven om (1) bilateraal met de Commissie, (2) in samenwerking met andere </w:t>
      </w:r>
      <w:r w:rsidRPr="00F50F0C" w:rsidR="00D45DCF">
        <w:rPr>
          <w:rFonts w:ascii="Verdana" w:hAnsi="Verdana"/>
          <w:kern w:val="0"/>
          <w:lang w:eastAsia="zh-CN"/>
        </w:rPr>
        <w:t>LGO</w:t>
      </w:r>
      <w:r w:rsidRPr="00F50F0C">
        <w:rPr>
          <w:rFonts w:ascii="Verdana" w:hAnsi="Verdana"/>
          <w:kern w:val="0"/>
          <w:lang w:eastAsia="zh-CN"/>
        </w:rPr>
        <w:t xml:space="preserve"> of (3) met </w:t>
      </w:r>
      <w:proofErr w:type="spellStart"/>
      <w:r w:rsidRPr="00F50F0C">
        <w:rPr>
          <w:rFonts w:ascii="Verdana" w:hAnsi="Verdana"/>
          <w:kern w:val="0"/>
          <w:lang w:eastAsia="zh-CN"/>
        </w:rPr>
        <w:t>Ultraperifere</w:t>
      </w:r>
      <w:proofErr w:type="spellEnd"/>
      <w:r w:rsidRPr="00F50F0C">
        <w:rPr>
          <w:rFonts w:ascii="Verdana" w:hAnsi="Verdana"/>
          <w:kern w:val="0"/>
          <w:lang w:eastAsia="zh-CN"/>
        </w:rPr>
        <w:t xml:space="preserve"> gebieden (UPG)</w:t>
      </w:r>
      <w:r w:rsidRPr="00F50F0C" w:rsidR="008D6AE4">
        <w:rPr>
          <w:rStyle w:val="FootnoteReference"/>
          <w:rFonts w:ascii="Verdana" w:hAnsi="Verdana"/>
          <w:kern w:val="0"/>
          <w:lang w:eastAsia="zh-CN"/>
        </w:rPr>
        <w:footnoteReference w:id="4"/>
      </w:r>
      <w:r w:rsidRPr="00F50F0C">
        <w:rPr>
          <w:rFonts w:ascii="Verdana" w:hAnsi="Verdana"/>
          <w:kern w:val="0"/>
          <w:lang w:eastAsia="zh-CN"/>
        </w:rPr>
        <w:t xml:space="preserve"> en/of </w:t>
      </w:r>
      <w:r w:rsidRPr="00F50F0C" w:rsidR="00D26950">
        <w:rPr>
          <w:rFonts w:ascii="Verdana" w:hAnsi="Verdana"/>
          <w:kern w:val="0"/>
          <w:lang w:eastAsia="zh-CN"/>
        </w:rPr>
        <w:t>Landen in Afrika, het Caribisch gebied en de Stille Oceaan (</w:t>
      </w:r>
      <w:r w:rsidRPr="00F50F0C">
        <w:rPr>
          <w:rFonts w:ascii="Verdana" w:hAnsi="Verdana"/>
          <w:kern w:val="0"/>
          <w:lang w:eastAsia="zh-CN"/>
        </w:rPr>
        <w:t>ACS</w:t>
      </w:r>
      <w:r w:rsidRPr="00F50F0C" w:rsidR="00D26950">
        <w:rPr>
          <w:rFonts w:ascii="Verdana" w:hAnsi="Verdana"/>
          <w:kern w:val="0"/>
          <w:lang w:eastAsia="zh-CN"/>
        </w:rPr>
        <w:t>)</w:t>
      </w:r>
      <w:r w:rsidRPr="00F50F0C">
        <w:rPr>
          <w:rFonts w:ascii="Verdana" w:hAnsi="Verdana"/>
          <w:kern w:val="0"/>
          <w:lang w:eastAsia="zh-CN"/>
        </w:rPr>
        <w:t xml:space="preserve">-staten afspraken te maken over financiering van projecten. Dit zal </w:t>
      </w:r>
      <w:r w:rsidRPr="00F50F0C" w:rsidR="00D26950">
        <w:rPr>
          <w:rFonts w:ascii="Verdana" w:hAnsi="Verdana"/>
          <w:kern w:val="0"/>
          <w:lang w:eastAsia="zh-CN"/>
        </w:rPr>
        <w:t xml:space="preserve">volgens de Commissie </w:t>
      </w:r>
      <w:r w:rsidRPr="00F50F0C">
        <w:rPr>
          <w:rFonts w:ascii="Verdana" w:hAnsi="Verdana"/>
          <w:kern w:val="0"/>
          <w:lang w:eastAsia="zh-CN"/>
        </w:rPr>
        <w:t>ook leiden tot een grotere flexibiliteit.</w:t>
      </w:r>
    </w:p>
    <w:p w:rsidRPr="006D50EA" w:rsidR="00ED491C" w:rsidP="000970FB" w:rsidRDefault="00ED491C" w14:paraId="2B5A3043" w14:textId="77777777">
      <w:pPr>
        <w:pStyle w:val="Basis"/>
        <w:spacing w:line="360" w:lineRule="auto"/>
        <w:jc w:val="both"/>
        <w:rPr>
          <w:rFonts w:ascii="Verdana" w:hAnsi="Verdana"/>
          <w:bCs/>
          <w:kern w:val="0"/>
          <w:szCs w:val="18"/>
          <w:lang w:eastAsia="zh-CN"/>
        </w:rPr>
      </w:pPr>
    </w:p>
    <w:p w:rsidRPr="00605154" w:rsidR="006D50EA" w:rsidP="000970FB" w:rsidRDefault="006D50EA" w14:paraId="6786C2BD" w14:textId="62FD106B">
      <w:pPr>
        <w:pStyle w:val="Basis"/>
        <w:spacing w:line="360" w:lineRule="auto"/>
        <w:jc w:val="both"/>
        <w:rPr>
          <w:rFonts w:ascii="Verdana" w:hAnsi="Verdana"/>
          <w:kern w:val="0"/>
          <w:lang w:eastAsia="zh-CN"/>
        </w:rPr>
      </w:pPr>
      <w:r w:rsidRPr="00F50F0C">
        <w:rPr>
          <w:rFonts w:ascii="Verdana" w:hAnsi="Verdana"/>
          <w:kern w:val="0"/>
          <w:lang w:eastAsia="zh-CN"/>
        </w:rPr>
        <w:t xml:space="preserve">Daarnaast stelt de Commissie voor om </w:t>
      </w:r>
      <w:r w:rsidRPr="00F50F0C" w:rsidR="005130BD">
        <w:rPr>
          <w:rFonts w:ascii="Verdana" w:hAnsi="Verdana"/>
          <w:kern w:val="0"/>
          <w:lang w:eastAsia="zh-CN"/>
        </w:rPr>
        <w:t xml:space="preserve">begunstigden (of projecten) in </w:t>
      </w:r>
      <w:r w:rsidRPr="00F50F0C" w:rsidR="00D45DCF">
        <w:rPr>
          <w:rFonts w:ascii="Verdana" w:hAnsi="Verdana"/>
          <w:kern w:val="0"/>
          <w:lang w:eastAsia="zh-CN"/>
        </w:rPr>
        <w:t>LGO</w:t>
      </w:r>
      <w:r w:rsidRPr="00F50F0C">
        <w:rPr>
          <w:rFonts w:ascii="Verdana" w:hAnsi="Verdana"/>
          <w:kern w:val="0"/>
          <w:lang w:eastAsia="zh-CN"/>
        </w:rPr>
        <w:t xml:space="preserve"> in aanmerking te laten komen voor financiering vanuit de </w:t>
      </w:r>
      <w:r w:rsidRPr="00F50F0C" w:rsidR="00D26950">
        <w:rPr>
          <w:rFonts w:ascii="Verdana" w:hAnsi="Verdana"/>
          <w:kern w:val="0"/>
          <w:lang w:eastAsia="zh-CN"/>
        </w:rPr>
        <w:t xml:space="preserve">mondiale </w:t>
      </w:r>
      <w:r w:rsidRPr="00F50F0C" w:rsidR="00EE2F25">
        <w:rPr>
          <w:rFonts w:ascii="Verdana" w:hAnsi="Verdana"/>
          <w:kern w:val="0"/>
          <w:lang w:eastAsia="zh-CN"/>
        </w:rPr>
        <w:t xml:space="preserve">pijler </w:t>
      </w:r>
      <w:r w:rsidRPr="00F50F0C">
        <w:rPr>
          <w:rFonts w:ascii="Verdana" w:hAnsi="Verdana"/>
          <w:kern w:val="0"/>
          <w:lang w:eastAsia="zh-CN"/>
        </w:rPr>
        <w:t xml:space="preserve">van het </w:t>
      </w:r>
      <w:r w:rsidRPr="007D76D5">
        <w:rPr>
          <w:rFonts w:ascii="Verdana" w:hAnsi="Verdana"/>
          <w:i/>
          <w:iCs/>
          <w:kern w:val="0"/>
          <w:lang w:eastAsia="zh-CN"/>
        </w:rPr>
        <w:t>Global Europe instrument</w:t>
      </w:r>
      <w:r w:rsidRPr="00F50F0C">
        <w:rPr>
          <w:rFonts w:ascii="Verdana" w:hAnsi="Verdana"/>
          <w:kern w:val="0"/>
          <w:lang w:eastAsia="zh-CN"/>
        </w:rPr>
        <w:t xml:space="preserve">. Daarbij zal het LGO-besluit </w:t>
      </w:r>
      <w:r w:rsidRPr="00F50F0C" w:rsidR="006048D4">
        <w:rPr>
          <w:rFonts w:ascii="Verdana" w:hAnsi="Verdana"/>
          <w:kern w:val="0"/>
          <w:lang w:eastAsia="zh-CN"/>
        </w:rPr>
        <w:t>van toepassing zijn op</w:t>
      </w:r>
      <w:r w:rsidRPr="00F50F0C">
        <w:rPr>
          <w:rFonts w:ascii="Verdana" w:hAnsi="Verdana"/>
          <w:kern w:val="0"/>
          <w:lang w:eastAsia="zh-CN"/>
        </w:rPr>
        <w:t xml:space="preserve"> Global </w:t>
      </w:r>
      <w:proofErr w:type="spellStart"/>
      <w:r w:rsidRPr="00F50F0C">
        <w:rPr>
          <w:rFonts w:ascii="Verdana" w:hAnsi="Verdana"/>
          <w:kern w:val="0"/>
          <w:lang w:eastAsia="zh-CN"/>
        </w:rPr>
        <w:t>Europe’s</w:t>
      </w:r>
      <w:proofErr w:type="spellEnd"/>
      <w:r w:rsidRPr="00F50F0C">
        <w:rPr>
          <w:rFonts w:ascii="Verdana" w:hAnsi="Verdana"/>
          <w:kern w:val="0"/>
          <w:lang w:eastAsia="zh-CN"/>
        </w:rPr>
        <w:t xml:space="preserve"> versterkte instrumentarium zoals </w:t>
      </w:r>
      <w:r w:rsidRPr="00F50F0C" w:rsidR="00D26950">
        <w:rPr>
          <w:rFonts w:ascii="Verdana" w:hAnsi="Verdana"/>
          <w:kern w:val="0"/>
          <w:lang w:eastAsia="zh-CN"/>
        </w:rPr>
        <w:t>begrotingssteun</w:t>
      </w:r>
      <w:r w:rsidRPr="00F50F0C">
        <w:rPr>
          <w:rFonts w:ascii="Verdana" w:hAnsi="Verdana"/>
          <w:kern w:val="0"/>
          <w:lang w:eastAsia="zh-CN"/>
        </w:rPr>
        <w:t xml:space="preserve"> (onder andere in de vorm van leningen) en begrotingsgaranties. Ook zullen de </w:t>
      </w:r>
      <w:r w:rsidRPr="00F50F0C" w:rsidR="005130BD">
        <w:rPr>
          <w:rFonts w:ascii="Verdana" w:hAnsi="Verdana"/>
          <w:kern w:val="0"/>
          <w:lang w:eastAsia="zh-CN"/>
        </w:rPr>
        <w:t xml:space="preserve">projecten in </w:t>
      </w:r>
      <w:r w:rsidRPr="00F50F0C" w:rsidR="00D45DCF">
        <w:rPr>
          <w:rFonts w:ascii="Verdana" w:hAnsi="Verdana"/>
          <w:kern w:val="0"/>
          <w:lang w:eastAsia="zh-CN"/>
        </w:rPr>
        <w:t>LGO</w:t>
      </w:r>
      <w:r w:rsidRPr="00F50F0C" w:rsidR="005130BD">
        <w:rPr>
          <w:rFonts w:ascii="Verdana" w:hAnsi="Verdana"/>
          <w:kern w:val="0"/>
          <w:lang w:eastAsia="zh-CN"/>
        </w:rPr>
        <w:t xml:space="preserve"> in aanmerking komen voor steun onder </w:t>
      </w:r>
      <w:r w:rsidRPr="00F50F0C">
        <w:rPr>
          <w:rFonts w:ascii="Verdana" w:hAnsi="Verdana"/>
          <w:kern w:val="0"/>
          <w:lang w:eastAsia="zh-CN"/>
        </w:rPr>
        <w:t xml:space="preserve">het </w:t>
      </w:r>
      <w:r w:rsidRPr="007D76D5">
        <w:rPr>
          <w:rFonts w:ascii="Verdana" w:hAnsi="Verdana"/>
          <w:i/>
          <w:iCs/>
          <w:kern w:val="0"/>
          <w:lang w:eastAsia="zh-CN"/>
        </w:rPr>
        <w:t>European Competitiveness Fund</w:t>
      </w:r>
      <w:r w:rsidRPr="00F50F0C">
        <w:rPr>
          <w:rFonts w:ascii="Verdana" w:hAnsi="Verdana"/>
          <w:kern w:val="0"/>
          <w:lang w:eastAsia="zh-CN"/>
        </w:rPr>
        <w:t xml:space="preserve"> (ECF)</w:t>
      </w:r>
      <w:r w:rsidRPr="00F50F0C" w:rsidR="005130BD">
        <w:rPr>
          <w:rStyle w:val="FootnoteReference"/>
          <w:rFonts w:ascii="Verdana" w:hAnsi="Verdana"/>
          <w:kern w:val="0"/>
          <w:lang w:eastAsia="zh-CN"/>
        </w:rPr>
        <w:t xml:space="preserve"> </w:t>
      </w:r>
      <w:r w:rsidRPr="00F50F0C" w:rsidR="005130BD">
        <w:rPr>
          <w:rStyle w:val="FootnoteReference"/>
          <w:rFonts w:ascii="Verdana" w:hAnsi="Verdana"/>
          <w:kern w:val="0"/>
          <w:lang w:eastAsia="zh-CN"/>
        </w:rPr>
        <w:footnoteReference w:id="5"/>
      </w:r>
      <w:r w:rsidRPr="00F50F0C">
        <w:rPr>
          <w:rFonts w:ascii="Verdana" w:hAnsi="Verdana"/>
          <w:kern w:val="0"/>
          <w:lang w:eastAsia="zh-CN"/>
        </w:rPr>
        <w:t xml:space="preserve"> en andere relevante EU-programma’s, </w:t>
      </w:r>
      <w:r w:rsidRPr="00F50F0C" w:rsidR="00D26950">
        <w:rPr>
          <w:rFonts w:ascii="Verdana" w:hAnsi="Verdana"/>
          <w:kern w:val="0"/>
          <w:lang w:eastAsia="zh-CN"/>
        </w:rPr>
        <w:t>afhankelijk van de selectiecriteria binnen de betreffende fondsen</w:t>
      </w:r>
      <w:r w:rsidRPr="00F50F0C">
        <w:rPr>
          <w:rFonts w:ascii="Verdana" w:hAnsi="Verdana"/>
          <w:kern w:val="0"/>
          <w:lang w:eastAsia="zh-CN"/>
        </w:rPr>
        <w:t xml:space="preserve">. </w:t>
      </w:r>
      <w:r w:rsidRPr="00F50F0C" w:rsidR="005130BD">
        <w:rPr>
          <w:rFonts w:ascii="Verdana" w:hAnsi="Verdana"/>
          <w:kern w:val="0"/>
          <w:lang w:eastAsia="zh-CN"/>
        </w:rPr>
        <w:t xml:space="preserve">Wanneer Uniesteun onder het LGO-besluit in de vorm van een begrotingsgarantie of financieel instrument wordt verstrekt, wordt deze steun exclusief verleend via het </w:t>
      </w:r>
      <w:r w:rsidRPr="007D76D5" w:rsidR="005130BD">
        <w:rPr>
          <w:rFonts w:ascii="Verdana" w:hAnsi="Verdana"/>
          <w:i/>
          <w:iCs/>
          <w:kern w:val="0"/>
          <w:lang w:eastAsia="zh-CN"/>
        </w:rPr>
        <w:t>Global Europe</w:t>
      </w:r>
      <w:r w:rsidRPr="00F50F0C" w:rsidR="005130BD">
        <w:rPr>
          <w:rFonts w:ascii="Verdana" w:hAnsi="Verdana"/>
          <w:kern w:val="0"/>
          <w:lang w:eastAsia="zh-CN"/>
        </w:rPr>
        <w:t xml:space="preserve"> of ECF</w:t>
      </w:r>
      <w:r w:rsidRPr="007D76D5" w:rsidR="005130BD">
        <w:rPr>
          <w:rFonts w:ascii="Verdana" w:hAnsi="Verdana"/>
          <w:i/>
          <w:iCs/>
          <w:kern w:val="0"/>
          <w:lang w:eastAsia="zh-CN"/>
        </w:rPr>
        <w:t xml:space="preserve"> </w:t>
      </w:r>
      <w:proofErr w:type="spellStart"/>
      <w:r w:rsidRPr="007D76D5" w:rsidR="005130BD">
        <w:rPr>
          <w:rFonts w:ascii="Verdana" w:hAnsi="Verdana"/>
          <w:i/>
          <w:iCs/>
          <w:kern w:val="0"/>
          <w:lang w:eastAsia="zh-CN"/>
        </w:rPr>
        <w:t>InvestEU</w:t>
      </w:r>
      <w:proofErr w:type="spellEnd"/>
      <w:r w:rsidRPr="00F50F0C" w:rsidR="005130BD">
        <w:rPr>
          <w:rFonts w:ascii="Verdana" w:hAnsi="Verdana"/>
          <w:kern w:val="0"/>
          <w:lang w:eastAsia="zh-CN"/>
        </w:rPr>
        <w:t xml:space="preserve"> instrument, in lijn met de voorwaarden van die programma’s. </w:t>
      </w:r>
      <w:r w:rsidRPr="00F50F0C">
        <w:rPr>
          <w:rFonts w:ascii="Verdana" w:hAnsi="Verdana"/>
          <w:kern w:val="0"/>
          <w:lang w:eastAsia="zh-CN"/>
        </w:rPr>
        <w:t>In het algemeen streeft de Commissie ernaar om de procedures binnen het LGO-besluit te vereenvoudigen, onder meer door de verplichte goedkeuringsprocedure voor actieplannen en maatregelen met een relatief beperkte financiële omvang te laten vervallen.</w:t>
      </w:r>
    </w:p>
    <w:p w:rsidRPr="006D50EA" w:rsidR="00ED491C" w:rsidP="000970FB" w:rsidRDefault="00ED491C" w14:paraId="75CE4E0D" w14:textId="77777777">
      <w:pPr>
        <w:pStyle w:val="Basis"/>
        <w:spacing w:line="360" w:lineRule="auto"/>
        <w:jc w:val="both"/>
        <w:rPr>
          <w:rFonts w:ascii="Verdana" w:hAnsi="Verdana"/>
          <w:bCs/>
          <w:kern w:val="0"/>
          <w:szCs w:val="18"/>
          <w:lang w:eastAsia="zh-CN"/>
        </w:rPr>
      </w:pPr>
    </w:p>
    <w:p w:rsidRPr="00605154" w:rsidR="006D50EA" w:rsidP="000970FB" w:rsidRDefault="006D50EA" w14:paraId="37E9BE41" w14:textId="442E859E">
      <w:pPr>
        <w:pStyle w:val="Basis"/>
        <w:spacing w:line="360" w:lineRule="auto"/>
        <w:jc w:val="both"/>
        <w:rPr>
          <w:rFonts w:ascii="Verdana" w:hAnsi="Verdana"/>
          <w:kern w:val="0"/>
          <w:lang w:eastAsia="zh-CN"/>
        </w:rPr>
      </w:pPr>
      <w:r w:rsidRPr="00F50F0C">
        <w:rPr>
          <w:rFonts w:ascii="Verdana" w:hAnsi="Verdana"/>
          <w:kern w:val="0"/>
          <w:lang w:eastAsia="zh-CN"/>
        </w:rPr>
        <w:lastRenderedPageBreak/>
        <w:t>Met betrekking tot de dialoogstructuur is besloten om de frequentie van het EU-LGO forum te verlagen naar tweejaarlijks in plaats van jaarlijks, met als doel om de strategische waarde van dit gremium te versterken.</w:t>
      </w:r>
      <w:r w:rsidRPr="00F50F0C" w:rsidR="00D218F9">
        <w:rPr>
          <w:rFonts w:ascii="Verdana" w:hAnsi="Verdana"/>
          <w:kern w:val="0"/>
          <w:lang w:eastAsia="zh-CN"/>
        </w:rPr>
        <w:t xml:space="preserve"> </w:t>
      </w:r>
    </w:p>
    <w:p w:rsidRPr="006D50EA" w:rsidR="00ED491C" w:rsidP="000970FB" w:rsidRDefault="00ED491C" w14:paraId="5FE10D9C" w14:textId="77777777">
      <w:pPr>
        <w:pStyle w:val="Basis"/>
        <w:spacing w:line="360" w:lineRule="auto"/>
        <w:jc w:val="both"/>
        <w:rPr>
          <w:rFonts w:ascii="Verdana" w:hAnsi="Verdana"/>
          <w:bCs/>
          <w:kern w:val="0"/>
          <w:szCs w:val="18"/>
          <w:lang w:eastAsia="zh-CN"/>
        </w:rPr>
      </w:pPr>
    </w:p>
    <w:p w:rsidRPr="00605154" w:rsidR="006D50EA" w:rsidP="000970FB" w:rsidRDefault="006D50EA" w14:paraId="1D34852E" w14:textId="18B5D890">
      <w:pPr>
        <w:pStyle w:val="Basis"/>
        <w:spacing w:line="360" w:lineRule="auto"/>
        <w:jc w:val="both"/>
        <w:rPr>
          <w:rFonts w:ascii="Verdana" w:hAnsi="Verdana"/>
          <w:kern w:val="0"/>
          <w:lang w:eastAsia="zh-CN"/>
        </w:rPr>
      </w:pPr>
      <w:r w:rsidRPr="00F50F0C">
        <w:rPr>
          <w:rFonts w:ascii="Verdana" w:hAnsi="Verdana"/>
          <w:kern w:val="0"/>
          <w:lang w:eastAsia="zh-CN"/>
        </w:rPr>
        <w:t xml:space="preserve">Het nieuwe instrument heeft een financiële omvang van EUR 999 miljoen voor de periode 2028-2034. Hiervan is EUR 530 miljoen bestemd voor Groenland en EUR 425 miljoen voor de </w:t>
      </w:r>
      <w:r w:rsidRPr="00F50F0C" w:rsidR="00D45DCF">
        <w:rPr>
          <w:rFonts w:ascii="Verdana" w:hAnsi="Verdana"/>
          <w:kern w:val="0"/>
          <w:lang w:eastAsia="zh-CN"/>
        </w:rPr>
        <w:t>LGO</w:t>
      </w:r>
      <w:r w:rsidRPr="00F50F0C">
        <w:rPr>
          <w:rFonts w:ascii="Verdana" w:hAnsi="Verdana"/>
          <w:kern w:val="0"/>
          <w:lang w:eastAsia="zh-CN"/>
        </w:rPr>
        <w:t xml:space="preserve"> die bij Nederland en Frankrijk horen. Dit is bijna een verdubbeling van het budget voor de periode 2021-2027. Het is echter nog onbekend hoe deze EUR 425 miljoen over de verschillende </w:t>
      </w:r>
      <w:r w:rsidRPr="00F50F0C" w:rsidR="00D45DCF">
        <w:rPr>
          <w:rFonts w:ascii="Verdana" w:hAnsi="Verdana"/>
          <w:kern w:val="0"/>
          <w:lang w:eastAsia="zh-CN"/>
        </w:rPr>
        <w:t>LGO</w:t>
      </w:r>
      <w:r w:rsidRPr="00F50F0C">
        <w:rPr>
          <w:rFonts w:ascii="Verdana" w:hAnsi="Verdana"/>
          <w:kern w:val="0"/>
          <w:lang w:eastAsia="zh-CN"/>
        </w:rPr>
        <w:t xml:space="preserve"> verdeeld wordt en op welke wijze dit te besteden is.</w:t>
      </w:r>
      <w:r w:rsidRPr="00F50F0C" w:rsidR="006276DD">
        <w:rPr>
          <w:rFonts w:ascii="Verdana" w:hAnsi="Verdana"/>
          <w:kern w:val="0"/>
          <w:lang w:eastAsia="zh-CN"/>
        </w:rPr>
        <w:t xml:space="preserve"> Daarnaast stelt de Commissie een leenfaciliteit voor waarbij </w:t>
      </w:r>
      <w:r w:rsidRPr="00F50F0C" w:rsidR="00D45DCF">
        <w:rPr>
          <w:rFonts w:ascii="Verdana" w:hAnsi="Verdana"/>
          <w:kern w:val="0"/>
          <w:lang w:eastAsia="zh-CN"/>
        </w:rPr>
        <w:t>LGO</w:t>
      </w:r>
      <w:r w:rsidRPr="00F50F0C" w:rsidR="006276DD">
        <w:rPr>
          <w:rFonts w:ascii="Verdana" w:hAnsi="Verdana"/>
          <w:kern w:val="0"/>
          <w:lang w:eastAsia="zh-CN"/>
        </w:rPr>
        <w:t>, al dan niet via de lidstaat, een lening kunnen aangaan bij de Commissie. Wat de voorwaarden voor een soortgelijke lening zijn, wordt echter niet duidelijk gemaakt.</w:t>
      </w:r>
    </w:p>
    <w:p w:rsidRPr="006D50EA" w:rsidR="006D50EA" w:rsidP="000970FB" w:rsidRDefault="006D50EA" w14:paraId="0227ACBC" w14:textId="77777777">
      <w:pPr>
        <w:pStyle w:val="Spreekpunten"/>
        <w:numPr>
          <w:ilvl w:val="0"/>
          <w:numId w:val="0"/>
        </w:numPr>
        <w:ind w:left="360"/>
        <w:jc w:val="both"/>
        <w:rPr>
          <w:rFonts w:ascii="Verdana" w:hAnsi="Verdana"/>
          <w:sz w:val="18"/>
          <w:szCs w:val="18"/>
          <w:lang w:val="nl-NL" w:eastAsia="zh-CN"/>
        </w:rPr>
      </w:pPr>
    </w:p>
    <w:p w:rsidRPr="00605154" w:rsidR="00CB7FF8" w:rsidP="000970FB" w:rsidRDefault="00CB7FF8" w14:paraId="32DDF169" w14:textId="77777777">
      <w:pPr>
        <w:pStyle w:val="Spreekpunten"/>
        <w:numPr>
          <w:ilvl w:val="0"/>
          <w:numId w:val="5"/>
        </w:numPr>
        <w:jc w:val="both"/>
        <w:rPr>
          <w:rFonts w:ascii="Verdana" w:hAnsi="Verdana"/>
          <w:i/>
          <w:iCs/>
          <w:sz w:val="18"/>
          <w:szCs w:val="18"/>
          <w:lang w:val="nl-NL" w:eastAsia="zh-CN"/>
        </w:rPr>
      </w:pPr>
      <w:r w:rsidRPr="6C090062">
        <w:rPr>
          <w:rFonts w:ascii="Verdana" w:hAnsi="Verdana"/>
          <w:i/>
          <w:iCs/>
          <w:sz w:val="18"/>
          <w:szCs w:val="18"/>
          <w:lang w:val="nl-NL" w:eastAsia="zh-CN"/>
        </w:rPr>
        <w:t>Impact assessment Commissie</w:t>
      </w:r>
    </w:p>
    <w:p w:rsidRPr="00605154" w:rsidR="006D50EA" w:rsidP="000970FB" w:rsidRDefault="006D50EA" w14:paraId="6AE9A5C1" w14:textId="290D537A">
      <w:pPr>
        <w:pStyle w:val="Basis"/>
        <w:spacing w:line="360" w:lineRule="auto"/>
        <w:jc w:val="both"/>
        <w:rPr>
          <w:rFonts w:ascii="Verdana" w:hAnsi="Verdana"/>
          <w:i/>
          <w:iCs/>
        </w:rPr>
      </w:pPr>
      <w:r w:rsidRPr="00F50F0C">
        <w:rPr>
          <w:rFonts w:ascii="Verdana" w:hAnsi="Verdana"/>
          <w:kern w:val="0"/>
          <w:lang w:eastAsia="zh-CN"/>
        </w:rPr>
        <w:t>De Commissie heeft in september 2025 een ex-ante evaluatie van het EU-LGO partnerschap gepubliceerd</w:t>
      </w:r>
      <w:r w:rsidRPr="00F50F0C" w:rsidR="0075266E">
        <w:rPr>
          <w:rFonts w:ascii="Verdana" w:hAnsi="Verdana"/>
          <w:kern w:val="0"/>
          <w:lang w:eastAsia="zh-CN"/>
        </w:rPr>
        <w:t>.</w:t>
      </w:r>
      <w:r w:rsidRPr="00F50F0C">
        <w:rPr>
          <w:rStyle w:val="FootnoteReference"/>
          <w:rFonts w:ascii="Verdana" w:hAnsi="Verdana"/>
          <w:kern w:val="0"/>
          <w:lang w:eastAsia="zh-CN"/>
        </w:rPr>
        <w:footnoteReference w:id="6"/>
      </w:r>
      <w:r w:rsidRPr="00F50F0C">
        <w:rPr>
          <w:rFonts w:ascii="Verdana" w:hAnsi="Verdana"/>
          <w:kern w:val="0"/>
          <w:lang w:eastAsia="zh-CN"/>
        </w:rPr>
        <w:t xml:space="preserve"> Dit is gedaan op basis van de </w:t>
      </w:r>
      <w:r w:rsidRPr="00F50F0C" w:rsidR="000D41ED">
        <w:rPr>
          <w:rFonts w:ascii="Verdana" w:hAnsi="Verdana"/>
          <w:kern w:val="0"/>
          <w:lang w:eastAsia="zh-CN"/>
        </w:rPr>
        <w:t>tussentijdse</w:t>
      </w:r>
      <w:r w:rsidRPr="00F50F0C">
        <w:rPr>
          <w:rFonts w:ascii="Verdana" w:hAnsi="Verdana"/>
          <w:kern w:val="0"/>
          <w:lang w:eastAsia="zh-CN"/>
        </w:rPr>
        <w:t xml:space="preserve"> evaluatie (mei 2024)</w:t>
      </w:r>
      <w:r w:rsidRPr="00F50F0C">
        <w:rPr>
          <w:rStyle w:val="FootnoteReference"/>
          <w:rFonts w:ascii="Verdana" w:hAnsi="Verdana"/>
          <w:kern w:val="0"/>
          <w:lang w:eastAsia="zh-CN"/>
        </w:rPr>
        <w:footnoteReference w:id="7"/>
      </w:r>
      <w:r w:rsidRPr="00F50F0C">
        <w:rPr>
          <w:rFonts w:ascii="Verdana" w:hAnsi="Verdana"/>
          <w:kern w:val="0"/>
          <w:lang w:eastAsia="zh-CN"/>
        </w:rPr>
        <w:t xml:space="preserve"> van het LGO-besluit.</w:t>
      </w:r>
      <w:r w:rsidRPr="00F50F0C" w:rsidR="004B2FB4">
        <w:rPr>
          <w:rFonts w:ascii="Verdana" w:hAnsi="Verdana"/>
          <w:kern w:val="0"/>
          <w:lang w:eastAsia="zh-CN"/>
        </w:rPr>
        <w:t xml:space="preserve"> </w:t>
      </w:r>
      <w:r w:rsidRPr="003B3CFD">
        <w:rPr>
          <w:rFonts w:ascii="Verdana" w:hAnsi="Verdana"/>
        </w:rPr>
        <w:t>Deze evaluatie toont aan dat (1) het LGO-besluit op koers is om de gestelde doelstellingen te behalen, (2) op een succesvolle wijze het voormalig Groenlandbesluit is geïntegreerd en (3) de samenhang met de bredere EU</w:t>
      </w:r>
      <w:r w:rsidR="00220B61">
        <w:rPr>
          <w:rFonts w:ascii="Verdana" w:hAnsi="Verdana"/>
        </w:rPr>
        <w:t>-</w:t>
      </w:r>
      <w:r w:rsidRPr="003B3CFD">
        <w:rPr>
          <w:rFonts w:ascii="Verdana" w:hAnsi="Verdana"/>
        </w:rPr>
        <w:t>financieringsarchitectuur is verbeterd. Tegelijkertijd werden ook verschillende uitdagingen geconstateerd. Dit betreft uitdagingen op het gebied van (1) het aanpassen aan mondiale trends, (2) de samenhang met de bredere EU</w:t>
      </w:r>
      <w:r w:rsidR="00220B61">
        <w:rPr>
          <w:rFonts w:ascii="Verdana" w:hAnsi="Verdana"/>
        </w:rPr>
        <w:t>-</w:t>
      </w:r>
      <w:r w:rsidRPr="003B3CFD">
        <w:rPr>
          <w:rFonts w:ascii="Verdana" w:hAnsi="Verdana"/>
        </w:rPr>
        <w:t>financieringsarchitectuur en (3) het voeren van een effectieve dialoog.</w:t>
      </w:r>
      <w:r w:rsidR="00FC3416">
        <w:rPr>
          <w:rFonts w:ascii="Verdana" w:hAnsi="Verdana"/>
        </w:rPr>
        <w:t xml:space="preserve"> </w:t>
      </w:r>
      <w:r w:rsidRPr="00F50F0C" w:rsidR="00FC3416">
        <w:rPr>
          <w:rFonts w:ascii="Verdana" w:hAnsi="Verdana"/>
          <w:kern w:val="0"/>
          <w:lang w:eastAsia="zh-CN"/>
        </w:rPr>
        <w:t>Het kabinet kan zich vinden in de conclusies uit de ex-ante evaluatie van de Commissie.</w:t>
      </w:r>
    </w:p>
    <w:p w:rsidRPr="00DA19A2" w:rsidR="00CB7FF8" w:rsidP="000970FB" w:rsidRDefault="00CB7FF8" w14:paraId="078319D9" w14:textId="77777777">
      <w:pPr>
        <w:spacing w:line="360" w:lineRule="auto"/>
        <w:ind w:left="360" w:hanging="360"/>
        <w:jc w:val="both"/>
        <w:rPr>
          <w:rFonts w:ascii="Verdana" w:hAnsi="Verdana"/>
          <w:b/>
          <w:sz w:val="18"/>
          <w:szCs w:val="18"/>
        </w:rPr>
      </w:pPr>
    </w:p>
    <w:p w:rsidRPr="00605154" w:rsidR="00CB7FF8" w:rsidP="000970FB" w:rsidRDefault="00CB7FF8" w14:paraId="4B833EFF" w14:textId="77777777">
      <w:pPr>
        <w:numPr>
          <w:ilvl w:val="0"/>
          <w:numId w:val="3"/>
        </w:numPr>
        <w:spacing w:line="360" w:lineRule="auto"/>
        <w:jc w:val="both"/>
        <w:rPr>
          <w:rFonts w:ascii="Verdana" w:hAnsi="Verdana"/>
          <w:b/>
          <w:bCs/>
          <w:sz w:val="18"/>
          <w:szCs w:val="18"/>
        </w:rPr>
      </w:pPr>
      <w:r w:rsidRPr="00F50F0C">
        <w:rPr>
          <w:rFonts w:ascii="Verdana" w:hAnsi="Verdana"/>
          <w:b/>
          <w:bCs/>
          <w:sz w:val="18"/>
          <w:szCs w:val="18"/>
        </w:rPr>
        <w:t>Nederlandse</w:t>
      </w:r>
      <w:r w:rsidRPr="00F50F0C" w:rsidR="00F74E07">
        <w:rPr>
          <w:rFonts w:ascii="Verdana" w:hAnsi="Verdana"/>
          <w:b/>
          <w:bCs/>
          <w:sz w:val="18"/>
          <w:szCs w:val="18"/>
        </w:rPr>
        <w:t xml:space="preserve"> positie ten aanzien van het</w:t>
      </w:r>
      <w:r w:rsidRPr="00F50F0C">
        <w:rPr>
          <w:rFonts w:ascii="Verdana" w:hAnsi="Verdana"/>
          <w:b/>
          <w:bCs/>
          <w:sz w:val="18"/>
          <w:szCs w:val="18"/>
        </w:rPr>
        <w:t xml:space="preserve"> voorstel </w:t>
      </w:r>
    </w:p>
    <w:p w:rsidRPr="00605154" w:rsidR="00F74E07" w:rsidP="000970FB" w:rsidRDefault="00F74E07" w14:paraId="05149A14" w14:textId="77777777">
      <w:pPr>
        <w:numPr>
          <w:ilvl w:val="0"/>
          <w:numId w:val="6"/>
        </w:numPr>
        <w:spacing w:line="360" w:lineRule="auto"/>
        <w:jc w:val="both"/>
        <w:rPr>
          <w:rFonts w:ascii="Verdana" w:hAnsi="Verdana"/>
          <w:i/>
          <w:iCs/>
          <w:sz w:val="18"/>
          <w:szCs w:val="18"/>
        </w:rPr>
      </w:pPr>
      <w:r w:rsidRPr="00F50F0C">
        <w:rPr>
          <w:rFonts w:ascii="Verdana" w:hAnsi="Verdana"/>
          <w:i/>
          <w:iCs/>
          <w:sz w:val="18"/>
          <w:szCs w:val="18"/>
        </w:rPr>
        <w:t>Essentie Nederlands beleid op dit terrein</w:t>
      </w:r>
    </w:p>
    <w:p w:rsidRPr="00605154" w:rsidR="008F1414" w:rsidP="000970FB" w:rsidRDefault="00545272" w14:paraId="30E71B6D" w14:textId="7F48293D">
      <w:pPr>
        <w:pStyle w:val="Basis"/>
        <w:spacing w:before="213" w:line="360" w:lineRule="auto"/>
        <w:jc w:val="both"/>
        <w:rPr>
          <w:rFonts w:ascii="Verdana" w:hAnsi="Verdana"/>
        </w:rPr>
      </w:pPr>
      <w:r w:rsidRPr="00F50F0C">
        <w:rPr>
          <w:rFonts w:ascii="Verdana" w:hAnsi="Verdana"/>
        </w:rPr>
        <w:t>De Kamerbrief van 28 maart 2025 over de Nederlandse inzet voor het volgend MFK en de Kamerbrief met kabinetsappreciatie van de MFK-voorstellen van de Commissie voor het volgend MFK is de basis voor de Nederlandse onderhandelingspositie en leidend t.o.v. de BNC-fiches over de onderliggende MFK-voorstellen</w:t>
      </w:r>
      <w:r w:rsidRPr="00F50F0C" w:rsidR="00220B61">
        <w:rPr>
          <w:rFonts w:ascii="Verdana" w:hAnsi="Verdana"/>
        </w:rPr>
        <w:t>.</w:t>
      </w:r>
      <w:r w:rsidRPr="00F50F0C" w:rsidR="004B2FB4">
        <w:rPr>
          <w:rStyle w:val="FootnoteReference"/>
          <w:rFonts w:ascii="Verdana" w:hAnsi="Verdana"/>
        </w:rPr>
        <w:footnoteReference w:id="8"/>
      </w:r>
      <w:r w:rsidRPr="00F50F0C">
        <w:rPr>
          <w:rFonts w:ascii="Verdana" w:hAnsi="Verdana"/>
        </w:rPr>
        <w:t xml:space="preserve"> De overkoepelende Nederlandse inzet richt zich op een ambitieus gemoderniseerd en financieel houdbaar MFK waarbij de focus gelegd dient te worden op strategische prioriteiten. In het licht van huidige geopolitieke spanningen is een financieel weerbaar Europa van groot belang voor onze veiligheid en welvaart. De voorstellen voor het nieuwe MFK en eigenmiddelenbesluit komen bovendien in een tijd waarin veel lidstaten te maken hebben met budgettaire uitdagingen door hoge schulden en oplopende tekorten. Door de grote toekomstige uitdagingen en budgettaire situatie van lidstaten is het kabinet van mening dat de EU in het MFK scherp moet </w:t>
      </w:r>
      <w:proofErr w:type="spellStart"/>
      <w:r w:rsidRPr="00F50F0C">
        <w:rPr>
          <w:rFonts w:ascii="Verdana" w:hAnsi="Verdana"/>
        </w:rPr>
        <w:t>herprioriteren</w:t>
      </w:r>
      <w:proofErr w:type="spellEnd"/>
      <w:r w:rsidRPr="00F50F0C">
        <w:rPr>
          <w:rFonts w:ascii="Verdana" w:hAnsi="Verdana"/>
        </w:rPr>
        <w:t xml:space="preserve"> en kritisch moet kijken naar de besteding van Europese publieke middelen. Middelen op de EU-begroting dienen besteed te worden waar de meeste EU</w:t>
      </w:r>
      <w:r w:rsidRPr="00F50F0C" w:rsidR="00EE2F25">
        <w:rPr>
          <w:rFonts w:ascii="Verdana" w:hAnsi="Verdana"/>
        </w:rPr>
        <w:t xml:space="preserve"> </w:t>
      </w:r>
      <w:r w:rsidRPr="00F50F0C">
        <w:rPr>
          <w:rFonts w:ascii="Verdana" w:hAnsi="Verdana"/>
        </w:rPr>
        <w:t xml:space="preserve">toegevoegde waarde zit. De belangrijkste inhoudelijke prioriteiten voor het MFK zijn het versterken van het Europees concurrentievermogen met een sterke </w:t>
      </w:r>
      <w:r w:rsidRPr="00F50F0C">
        <w:rPr>
          <w:rFonts w:ascii="Verdana" w:hAnsi="Verdana"/>
        </w:rPr>
        <w:lastRenderedPageBreak/>
        <w:t>interne markt en inzet op onderzoek en innovatie als fundament, een stevig migratie- en asielbeleid, en veiligheid en defensie</w:t>
      </w:r>
      <w:r w:rsidRPr="00F50F0C" w:rsidR="00917B66">
        <w:rPr>
          <w:rFonts w:ascii="Verdana" w:hAnsi="Verdana"/>
        </w:rPr>
        <w:t xml:space="preserve">. </w:t>
      </w:r>
    </w:p>
    <w:p w:rsidRPr="00605154" w:rsidR="006D50EA" w:rsidP="000970FB" w:rsidRDefault="00EE17F9" w14:paraId="5C1E037B" w14:textId="2DE09B81">
      <w:pPr>
        <w:pStyle w:val="Basis"/>
        <w:spacing w:before="213" w:line="360" w:lineRule="auto"/>
        <w:jc w:val="both"/>
        <w:rPr>
          <w:rFonts w:ascii="Verdana" w:hAnsi="Verdana"/>
          <w:lang w:eastAsia="zh-CN"/>
        </w:rPr>
      </w:pPr>
      <w:r w:rsidRPr="00F50F0C">
        <w:rPr>
          <w:rFonts w:ascii="Verdana" w:hAnsi="Verdana"/>
          <w:kern w:val="0"/>
          <w:lang w:eastAsia="zh-CN"/>
        </w:rPr>
        <w:t xml:space="preserve">Zoals door de Commissie aangegeven kunnen de </w:t>
      </w:r>
      <w:r w:rsidRPr="00F50F0C" w:rsidR="00D45DCF">
        <w:rPr>
          <w:rFonts w:ascii="Verdana" w:hAnsi="Verdana"/>
          <w:kern w:val="0"/>
          <w:lang w:eastAsia="zh-CN"/>
        </w:rPr>
        <w:t>LGO</w:t>
      </w:r>
      <w:r w:rsidRPr="00F50F0C">
        <w:rPr>
          <w:rFonts w:ascii="Verdana" w:hAnsi="Verdana"/>
          <w:kern w:val="0"/>
          <w:lang w:eastAsia="zh-CN"/>
        </w:rPr>
        <w:t xml:space="preserve"> bijdragen aan het versterken van de veiligheid en defensie van de EU. Zij zijn immers, samen met de </w:t>
      </w:r>
      <w:proofErr w:type="spellStart"/>
      <w:r w:rsidRPr="00F50F0C">
        <w:rPr>
          <w:rFonts w:ascii="Verdana" w:hAnsi="Verdana"/>
          <w:kern w:val="0"/>
          <w:lang w:eastAsia="zh-CN"/>
        </w:rPr>
        <w:t>UPG’s</w:t>
      </w:r>
      <w:proofErr w:type="spellEnd"/>
      <w:r w:rsidRPr="00F50F0C">
        <w:rPr>
          <w:rFonts w:ascii="Verdana" w:hAnsi="Verdana"/>
          <w:kern w:val="0"/>
          <w:lang w:eastAsia="zh-CN"/>
        </w:rPr>
        <w:t>, strategische buitenposten van de EU die de aanwezigheid van de EU in geopolitiek relevante regio</w:t>
      </w:r>
      <w:r w:rsidRPr="00F50F0C" w:rsidR="005833B8">
        <w:rPr>
          <w:rFonts w:ascii="Verdana" w:hAnsi="Verdana"/>
          <w:kern w:val="0"/>
          <w:lang w:eastAsia="zh-CN"/>
        </w:rPr>
        <w:t>’</w:t>
      </w:r>
      <w:r w:rsidRPr="00F50F0C">
        <w:rPr>
          <w:rFonts w:ascii="Verdana" w:hAnsi="Verdana"/>
          <w:kern w:val="0"/>
          <w:lang w:eastAsia="zh-CN"/>
        </w:rPr>
        <w:t>s versterkt</w:t>
      </w:r>
      <w:r w:rsidRPr="00F50F0C" w:rsidR="008F1414">
        <w:rPr>
          <w:rFonts w:ascii="Verdana" w:hAnsi="Verdana"/>
          <w:kern w:val="0"/>
          <w:lang w:eastAsia="zh-CN"/>
        </w:rPr>
        <w:t>.</w:t>
      </w:r>
      <w:r w:rsidRPr="00F50F0C">
        <w:rPr>
          <w:rFonts w:ascii="Verdana" w:hAnsi="Verdana"/>
          <w:kern w:val="0"/>
          <w:lang w:eastAsia="zh-CN"/>
        </w:rPr>
        <w:t xml:space="preserve"> </w:t>
      </w:r>
      <w:r w:rsidRPr="00F50F0C" w:rsidR="00991800">
        <w:rPr>
          <w:rFonts w:ascii="Verdana" w:hAnsi="Verdana"/>
          <w:kern w:val="0"/>
          <w:lang w:eastAsia="zh-CN"/>
        </w:rPr>
        <w:t>Onder andere d</w:t>
      </w:r>
      <w:r w:rsidRPr="00F50F0C" w:rsidR="0096661A">
        <w:rPr>
          <w:rFonts w:ascii="Verdana" w:hAnsi="Verdana"/>
          <w:kern w:val="0"/>
          <w:lang w:eastAsia="zh-CN"/>
        </w:rPr>
        <w:t>e</w:t>
      </w:r>
      <w:r w:rsidRPr="00F50F0C" w:rsidR="004903BC">
        <w:rPr>
          <w:rFonts w:ascii="Verdana" w:hAnsi="Verdana"/>
          <w:kern w:val="0"/>
          <w:lang w:eastAsia="zh-CN"/>
        </w:rPr>
        <w:t xml:space="preserve"> </w:t>
      </w:r>
      <w:r w:rsidRPr="00F50F0C" w:rsidR="0096661A">
        <w:rPr>
          <w:rFonts w:ascii="Verdana" w:hAnsi="Verdana"/>
          <w:kern w:val="0"/>
          <w:lang w:eastAsia="zh-CN"/>
        </w:rPr>
        <w:t xml:space="preserve">nabijheid van de Verenigde Staten en de </w:t>
      </w:r>
      <w:r w:rsidRPr="00F50F0C" w:rsidR="36F6183E">
        <w:rPr>
          <w:rFonts w:ascii="Verdana" w:hAnsi="Verdana"/>
          <w:kern w:val="0"/>
          <w:lang w:eastAsia="zh-CN"/>
        </w:rPr>
        <w:t>geografische ligging</w:t>
      </w:r>
      <w:r w:rsidRPr="00F50F0C" w:rsidR="0096661A">
        <w:rPr>
          <w:rFonts w:ascii="Verdana" w:hAnsi="Verdana"/>
          <w:kern w:val="0"/>
          <w:lang w:eastAsia="zh-CN"/>
        </w:rPr>
        <w:t xml:space="preserve"> van Venezuela maakt het Caribisch gebied </w:t>
      </w:r>
      <w:r w:rsidRPr="00F50F0C" w:rsidR="005833B8">
        <w:rPr>
          <w:rFonts w:ascii="Verdana" w:hAnsi="Verdana"/>
          <w:kern w:val="0"/>
          <w:lang w:eastAsia="zh-CN"/>
        </w:rPr>
        <w:t xml:space="preserve">in dit opzicht </w:t>
      </w:r>
      <w:r w:rsidRPr="00F50F0C" w:rsidR="0096661A">
        <w:rPr>
          <w:rFonts w:ascii="Verdana" w:hAnsi="Verdana"/>
          <w:kern w:val="0"/>
          <w:lang w:eastAsia="zh-CN"/>
        </w:rPr>
        <w:t xml:space="preserve">uiterst relevant. </w:t>
      </w:r>
      <w:r w:rsidRPr="00F50F0C" w:rsidR="008F1414">
        <w:rPr>
          <w:rFonts w:ascii="Verdana" w:hAnsi="Verdana"/>
          <w:kern w:val="0"/>
          <w:lang w:eastAsia="zh-CN"/>
        </w:rPr>
        <w:t xml:space="preserve">Het kabinet </w:t>
      </w:r>
      <w:r w:rsidRPr="00F50F0C" w:rsidR="006D50EA">
        <w:rPr>
          <w:rFonts w:ascii="Verdana" w:hAnsi="Verdana"/>
          <w:kern w:val="0"/>
          <w:lang w:eastAsia="zh-CN"/>
        </w:rPr>
        <w:t xml:space="preserve">acht het partnerschap tussen de EU en de </w:t>
      </w:r>
      <w:r w:rsidRPr="00F50F0C" w:rsidR="00D45DCF">
        <w:rPr>
          <w:rFonts w:ascii="Verdana" w:hAnsi="Verdana"/>
          <w:kern w:val="0"/>
          <w:lang w:eastAsia="zh-CN"/>
        </w:rPr>
        <w:t>LGO</w:t>
      </w:r>
      <w:r w:rsidRPr="00F50F0C" w:rsidR="006D50EA">
        <w:rPr>
          <w:rFonts w:ascii="Verdana" w:hAnsi="Verdana"/>
          <w:kern w:val="0"/>
          <w:lang w:eastAsia="zh-CN"/>
        </w:rPr>
        <w:t xml:space="preserve"> </w:t>
      </w:r>
      <w:r w:rsidRPr="00F50F0C" w:rsidR="008F1414">
        <w:rPr>
          <w:rFonts w:ascii="Verdana" w:hAnsi="Verdana"/>
          <w:kern w:val="0"/>
          <w:lang w:eastAsia="zh-CN"/>
        </w:rPr>
        <w:t>daarom van belang</w:t>
      </w:r>
      <w:r w:rsidRPr="00F50F0C" w:rsidR="006D50EA">
        <w:rPr>
          <w:rFonts w:ascii="Verdana" w:hAnsi="Verdana"/>
          <w:kern w:val="0"/>
          <w:lang w:eastAsia="zh-CN"/>
        </w:rPr>
        <w:t xml:space="preserve">. </w:t>
      </w:r>
    </w:p>
    <w:p w:rsidR="00480703" w:rsidP="000970FB" w:rsidRDefault="00480703" w14:paraId="05636EE7" w14:textId="77777777">
      <w:pPr>
        <w:pStyle w:val="Basis"/>
        <w:spacing w:line="360" w:lineRule="auto"/>
        <w:jc w:val="both"/>
        <w:rPr>
          <w:rFonts w:ascii="Verdana" w:hAnsi="Verdana"/>
          <w:iCs/>
          <w:kern w:val="0"/>
          <w:szCs w:val="18"/>
          <w:lang w:eastAsia="zh-CN"/>
        </w:rPr>
      </w:pPr>
    </w:p>
    <w:p w:rsidRPr="00605154" w:rsidR="004903BC" w:rsidP="000970FB" w:rsidRDefault="00480703" w14:paraId="20BED7BF" w14:textId="2D7CFC2E">
      <w:pPr>
        <w:pStyle w:val="Basis"/>
        <w:spacing w:line="360" w:lineRule="auto"/>
        <w:jc w:val="both"/>
        <w:rPr>
          <w:rFonts w:ascii="Verdana" w:hAnsi="Verdana"/>
          <w:lang w:eastAsia="zh-CN"/>
        </w:rPr>
      </w:pPr>
      <w:r w:rsidRPr="00F50F0C">
        <w:rPr>
          <w:rFonts w:ascii="Verdana" w:hAnsi="Verdana"/>
          <w:kern w:val="0"/>
          <w:lang w:eastAsia="zh-CN"/>
        </w:rPr>
        <w:t xml:space="preserve">Het kabinet heeft zich ingezet om administratieve lasten te verlichten voor de LGO onder het huidige LGO besluit. Gezien de beperkte uitvoeringscapaciteit van de LGO vragen de formats en verplichtingen (te) veel expertise en zijn </w:t>
      </w:r>
      <w:r w:rsidRPr="00F50F0C" w:rsidR="5EA7E48F">
        <w:rPr>
          <w:rFonts w:ascii="Verdana" w:hAnsi="Verdana"/>
          <w:kern w:val="0"/>
          <w:lang w:eastAsia="zh-CN"/>
        </w:rPr>
        <w:t xml:space="preserve">deze </w:t>
      </w:r>
      <w:r w:rsidRPr="00F50F0C">
        <w:rPr>
          <w:rFonts w:ascii="Verdana" w:hAnsi="Verdana"/>
          <w:kern w:val="0"/>
          <w:lang w:eastAsia="zh-CN"/>
        </w:rPr>
        <w:t>zeer tijdrovend. Procedures specifiek gevormd naar de behoeftes (kleinere projecten met lagere totaalwaarden) en karakteristieken (weinig uitvoeringscapaciteit) van de LGO kunnen bijdragen om dit proces te versnellen en de doelstellingen van het LGO-besluit te bereiken, doordat een kleiner deel van het budget aan externe ondersteuning hoeft te worden besteed.</w:t>
      </w:r>
    </w:p>
    <w:p w:rsidR="0061622D" w:rsidP="000970FB" w:rsidRDefault="0061622D" w14:paraId="6BDFC502" w14:textId="77777777">
      <w:pPr>
        <w:pStyle w:val="Basis"/>
        <w:spacing w:line="360" w:lineRule="auto"/>
        <w:jc w:val="both"/>
        <w:rPr>
          <w:rFonts w:ascii="Verdana" w:hAnsi="Verdana"/>
          <w:iCs/>
          <w:kern w:val="0"/>
          <w:szCs w:val="18"/>
          <w:lang w:eastAsia="zh-CN"/>
        </w:rPr>
      </w:pPr>
    </w:p>
    <w:p w:rsidRPr="00605154" w:rsidR="00480703" w:rsidP="000970FB" w:rsidRDefault="004903BC" w14:paraId="702558C2" w14:textId="0E62F2AA">
      <w:pPr>
        <w:pStyle w:val="Basis"/>
        <w:spacing w:line="360" w:lineRule="auto"/>
        <w:jc w:val="both"/>
        <w:rPr>
          <w:rFonts w:ascii="Verdana" w:hAnsi="Verdana"/>
          <w:kern w:val="0"/>
          <w:lang w:eastAsia="zh-CN"/>
        </w:rPr>
      </w:pPr>
      <w:r w:rsidRPr="00F50F0C">
        <w:rPr>
          <w:rFonts w:ascii="Verdana" w:hAnsi="Verdana"/>
          <w:kern w:val="0"/>
          <w:lang w:eastAsia="zh-CN"/>
        </w:rPr>
        <w:t xml:space="preserve">Ook verlaagt de beperkte uitvoeringscapaciteit bij de LGO de kans op succes bij het aantrekken van financieringsinstrumenten via EU-fondsen, welke los staan van </w:t>
      </w:r>
      <w:r w:rsidR="00605154">
        <w:rPr>
          <w:rFonts w:ascii="Verdana" w:hAnsi="Verdana"/>
          <w:kern w:val="0"/>
          <w:lang w:eastAsia="zh-CN"/>
        </w:rPr>
        <w:t>de</w:t>
      </w:r>
      <w:r w:rsidRPr="00F50F0C" w:rsidR="00605154">
        <w:rPr>
          <w:rFonts w:ascii="Verdana" w:hAnsi="Verdana"/>
          <w:kern w:val="0"/>
          <w:lang w:eastAsia="zh-CN"/>
        </w:rPr>
        <w:t xml:space="preserve"> </w:t>
      </w:r>
      <w:r w:rsidRPr="00F50F0C">
        <w:rPr>
          <w:rFonts w:ascii="Verdana" w:hAnsi="Verdana"/>
          <w:kern w:val="0"/>
          <w:lang w:eastAsia="zh-CN"/>
        </w:rPr>
        <w:t xml:space="preserve">LGO-besluit gelden. De effectieve toegang tot die fondsen blijkt in de praktijk zeer gering. Daarnaast kwalificeren de LGO als onderdeel van het Koninkrijk niet als </w:t>
      </w:r>
      <w:r w:rsidRPr="00605154">
        <w:rPr>
          <w:rFonts w:ascii="Verdana" w:hAnsi="Verdana"/>
          <w:i/>
          <w:iCs/>
          <w:kern w:val="0"/>
          <w:lang w:eastAsia="zh-CN"/>
        </w:rPr>
        <w:t xml:space="preserve">Small Island </w:t>
      </w:r>
      <w:proofErr w:type="spellStart"/>
      <w:r w:rsidRPr="00605154">
        <w:rPr>
          <w:rFonts w:ascii="Verdana" w:hAnsi="Verdana"/>
          <w:i/>
          <w:iCs/>
          <w:kern w:val="0"/>
          <w:lang w:eastAsia="zh-CN"/>
        </w:rPr>
        <w:t>Developing</w:t>
      </w:r>
      <w:proofErr w:type="spellEnd"/>
      <w:r w:rsidRPr="00605154">
        <w:rPr>
          <w:rFonts w:ascii="Verdana" w:hAnsi="Verdana"/>
          <w:i/>
          <w:iCs/>
          <w:kern w:val="0"/>
          <w:lang w:eastAsia="zh-CN"/>
        </w:rPr>
        <w:t xml:space="preserve"> States</w:t>
      </w:r>
      <w:r w:rsidRPr="00F50F0C">
        <w:rPr>
          <w:rFonts w:ascii="Verdana" w:hAnsi="Verdana"/>
          <w:kern w:val="0"/>
          <w:lang w:eastAsia="zh-CN"/>
        </w:rPr>
        <w:t xml:space="preserve"> (SIDS) waardoor ze via deze weg ook niet voor aanvullende financiering, buiten EU-financiering om, in aanmerking komen. Daarom zal het kabinet zich</w:t>
      </w:r>
      <w:r w:rsidRPr="00F50F0C" w:rsidR="002B6B2E">
        <w:rPr>
          <w:rFonts w:ascii="Verdana" w:hAnsi="Verdana"/>
          <w:kern w:val="0"/>
          <w:lang w:eastAsia="zh-CN"/>
        </w:rPr>
        <w:t>, waar gepast,</w:t>
      </w:r>
      <w:r w:rsidRPr="00F50F0C">
        <w:rPr>
          <w:rFonts w:ascii="Verdana" w:hAnsi="Verdana"/>
          <w:kern w:val="0"/>
          <w:lang w:eastAsia="zh-CN"/>
        </w:rPr>
        <w:t xml:space="preserve"> inzetten voor de ontwikkeling van separate calls voor </w:t>
      </w:r>
      <w:r w:rsidRPr="00605154">
        <w:rPr>
          <w:rFonts w:ascii="Verdana" w:hAnsi="Verdana"/>
          <w:i/>
          <w:iCs/>
          <w:kern w:val="0"/>
          <w:lang w:eastAsia="zh-CN"/>
        </w:rPr>
        <w:t xml:space="preserve">Sub National Island </w:t>
      </w:r>
      <w:proofErr w:type="spellStart"/>
      <w:r w:rsidRPr="00605154">
        <w:rPr>
          <w:rFonts w:ascii="Verdana" w:hAnsi="Verdana"/>
          <w:i/>
          <w:iCs/>
          <w:kern w:val="0"/>
          <w:lang w:eastAsia="zh-CN"/>
        </w:rPr>
        <w:t>Jurisdictions</w:t>
      </w:r>
      <w:proofErr w:type="spellEnd"/>
      <w:r w:rsidRPr="00F50F0C">
        <w:rPr>
          <w:rFonts w:ascii="Verdana" w:hAnsi="Verdana"/>
          <w:kern w:val="0"/>
          <w:lang w:eastAsia="zh-CN"/>
        </w:rPr>
        <w:t xml:space="preserve"> (</w:t>
      </w:r>
      <w:proofErr w:type="spellStart"/>
      <w:r w:rsidRPr="00F50F0C">
        <w:rPr>
          <w:rFonts w:ascii="Verdana" w:hAnsi="Verdana"/>
          <w:kern w:val="0"/>
          <w:lang w:eastAsia="zh-CN"/>
        </w:rPr>
        <w:t>SNIJ’s</w:t>
      </w:r>
      <w:proofErr w:type="spellEnd"/>
      <w:r w:rsidRPr="00F50F0C">
        <w:rPr>
          <w:rFonts w:ascii="Verdana" w:hAnsi="Verdana"/>
          <w:kern w:val="0"/>
          <w:lang w:eastAsia="zh-CN"/>
        </w:rPr>
        <w:t>). Dit geeft zowel de LGO als UPG, die tevens met beperkte uitvoeringscapaciteit kampen, een grotere kans de horizontale EU-fondsen daadwerkelijk te benutten. Specifieke formats voor het indienen van voorstellen, maar ook het openstellen van ‘micro-calls’ (met een waarde tussen de EUR 250.000 en 2 miljoen) zouden hierbij de kans op succes verder vergroten. Tot slot zou het hanteren van lagere cofinancieringspercentages, passend bij de context en uitvoeringscapaciteit van een LGO hier ook aan kunnen bijdragen.</w:t>
      </w:r>
    </w:p>
    <w:p w:rsidRPr="00FD0CBD" w:rsidR="006D50EA" w:rsidP="000970FB" w:rsidRDefault="006D50EA" w14:paraId="372E960B" w14:textId="77777777">
      <w:pPr>
        <w:spacing w:line="360" w:lineRule="auto"/>
        <w:jc w:val="both"/>
        <w:rPr>
          <w:rFonts w:ascii="Verdana" w:hAnsi="Verdana"/>
          <w:i/>
          <w:sz w:val="18"/>
          <w:szCs w:val="18"/>
        </w:rPr>
      </w:pPr>
    </w:p>
    <w:p w:rsidRPr="00605154" w:rsidR="00F74E07" w:rsidP="000970FB" w:rsidRDefault="00F74E07" w14:paraId="026791CA" w14:textId="77777777">
      <w:pPr>
        <w:numPr>
          <w:ilvl w:val="0"/>
          <w:numId w:val="6"/>
        </w:numPr>
        <w:spacing w:line="360" w:lineRule="auto"/>
        <w:jc w:val="both"/>
        <w:rPr>
          <w:rFonts w:ascii="Verdana" w:hAnsi="Verdana"/>
          <w:i/>
          <w:iCs/>
          <w:sz w:val="18"/>
          <w:szCs w:val="18"/>
        </w:rPr>
      </w:pPr>
      <w:r w:rsidRPr="00F50F0C">
        <w:rPr>
          <w:rFonts w:ascii="Verdana" w:hAnsi="Verdana"/>
          <w:i/>
          <w:iCs/>
          <w:sz w:val="18"/>
          <w:szCs w:val="18"/>
        </w:rPr>
        <w:t>Beoordeling + inzet ten aanzien van dit voorstel</w:t>
      </w:r>
    </w:p>
    <w:p w:rsidRPr="00605154" w:rsidR="00CD3E10" w:rsidP="000970FB" w:rsidRDefault="005130BD" w14:paraId="3832C3A5" w14:textId="0759C13E">
      <w:pPr>
        <w:pStyle w:val="Basis"/>
        <w:spacing w:line="360" w:lineRule="auto"/>
        <w:jc w:val="both"/>
        <w:rPr>
          <w:rFonts w:ascii="Verdana" w:hAnsi="Verdana"/>
          <w:kern w:val="0"/>
          <w:lang w:eastAsia="zh-CN"/>
        </w:rPr>
      </w:pPr>
      <w:r w:rsidRPr="00F50F0C">
        <w:rPr>
          <w:rFonts w:ascii="Verdana" w:hAnsi="Verdana"/>
          <w:kern w:val="0"/>
          <w:lang w:eastAsia="zh-CN"/>
        </w:rPr>
        <w:t xml:space="preserve">Het kabinet </w:t>
      </w:r>
      <w:r w:rsidRPr="00F50F0C" w:rsidR="00242246">
        <w:rPr>
          <w:rFonts w:ascii="Verdana" w:hAnsi="Verdana"/>
          <w:kern w:val="0"/>
          <w:lang w:eastAsia="zh-CN"/>
        </w:rPr>
        <w:t xml:space="preserve">is zeer positief over </w:t>
      </w:r>
      <w:r w:rsidRPr="00F50F0C" w:rsidR="00CD3E10">
        <w:rPr>
          <w:rFonts w:ascii="Verdana" w:hAnsi="Verdana"/>
          <w:kern w:val="0"/>
          <w:lang w:eastAsia="zh-CN"/>
        </w:rPr>
        <w:t>de algemene lijnen van het voorstel</w:t>
      </w:r>
      <w:r w:rsidRPr="00F50F0C" w:rsidR="00FC3416">
        <w:rPr>
          <w:rFonts w:ascii="Verdana" w:hAnsi="Verdana"/>
          <w:kern w:val="0"/>
          <w:lang w:eastAsia="zh-CN"/>
        </w:rPr>
        <w:t xml:space="preserve">. </w:t>
      </w:r>
      <w:r w:rsidRPr="00F50F0C" w:rsidR="00CD3E10">
        <w:rPr>
          <w:rFonts w:ascii="Verdana" w:hAnsi="Verdana"/>
          <w:kern w:val="0"/>
          <w:lang w:eastAsia="zh-CN"/>
        </w:rPr>
        <w:t xml:space="preserve">Het voorstel besteedt </w:t>
      </w:r>
      <w:r w:rsidRPr="00F50F0C">
        <w:rPr>
          <w:rFonts w:ascii="Verdana" w:hAnsi="Verdana"/>
          <w:kern w:val="0"/>
          <w:lang w:eastAsia="zh-CN"/>
        </w:rPr>
        <w:t xml:space="preserve">namelijk </w:t>
      </w:r>
      <w:r w:rsidRPr="00F50F0C" w:rsidR="00CD3E10">
        <w:rPr>
          <w:rFonts w:ascii="Verdana" w:hAnsi="Verdana"/>
          <w:kern w:val="0"/>
          <w:lang w:eastAsia="zh-CN"/>
        </w:rPr>
        <w:t xml:space="preserve">veel aandacht aan de strategische waarde van de </w:t>
      </w:r>
      <w:r w:rsidRPr="00F50F0C" w:rsidR="00D45DCF">
        <w:rPr>
          <w:rFonts w:ascii="Verdana" w:hAnsi="Verdana"/>
          <w:kern w:val="0"/>
          <w:lang w:eastAsia="zh-CN"/>
        </w:rPr>
        <w:t>LGO</w:t>
      </w:r>
      <w:r w:rsidRPr="00F50F0C" w:rsidR="00CD3E10">
        <w:rPr>
          <w:rFonts w:ascii="Verdana" w:hAnsi="Verdana"/>
          <w:kern w:val="0"/>
          <w:lang w:eastAsia="zh-CN"/>
        </w:rPr>
        <w:t xml:space="preserve">. Deze nadruk is terug te voeren op de actuele geopolitieke ontwikkelingen. </w:t>
      </w:r>
      <w:r w:rsidRPr="00F50F0C" w:rsidR="00242246">
        <w:rPr>
          <w:rFonts w:ascii="Verdana" w:hAnsi="Verdana"/>
          <w:kern w:val="0"/>
          <w:lang w:eastAsia="zh-CN"/>
        </w:rPr>
        <w:t>Het kabinet verwelkomt deze nadruk en deelt het beeld van de Commissie dat de LGO van strategisch belang zijn voor de EU</w:t>
      </w:r>
      <w:r w:rsidRPr="00F50F0C" w:rsidR="00EE2F25">
        <w:rPr>
          <w:rFonts w:ascii="Verdana" w:hAnsi="Verdana"/>
          <w:kern w:val="0"/>
          <w:lang w:eastAsia="zh-CN"/>
        </w:rPr>
        <w:t xml:space="preserve"> </w:t>
      </w:r>
      <w:r w:rsidRPr="00F50F0C" w:rsidR="00EE2F25">
        <w:rPr>
          <w:rFonts w:ascii="Verdana" w:hAnsi="Verdana"/>
        </w:rPr>
        <w:t xml:space="preserve">en </w:t>
      </w:r>
      <w:r w:rsidRPr="00F50F0C" w:rsidR="00FC3416">
        <w:rPr>
          <w:rFonts w:ascii="Verdana" w:hAnsi="Verdana"/>
        </w:rPr>
        <w:t xml:space="preserve">dat haar </w:t>
      </w:r>
      <w:r w:rsidRPr="00F50F0C" w:rsidR="00EE2F25">
        <w:rPr>
          <w:rFonts w:ascii="Verdana" w:hAnsi="Verdana"/>
        </w:rPr>
        <w:t>inzet hierop bijdraagt aan het streven van de EU om haar geopolitieke slagkracht te vergroten</w:t>
      </w:r>
      <w:r w:rsidRPr="00F50F0C" w:rsidR="00242246">
        <w:rPr>
          <w:rFonts w:ascii="Verdana" w:hAnsi="Verdana"/>
          <w:kern w:val="0"/>
          <w:lang w:eastAsia="zh-CN"/>
        </w:rPr>
        <w:t xml:space="preserve">. </w:t>
      </w:r>
      <w:r w:rsidRPr="00F50F0C" w:rsidR="00CD3E10">
        <w:rPr>
          <w:rFonts w:ascii="Verdana" w:hAnsi="Verdana"/>
          <w:kern w:val="0"/>
          <w:lang w:eastAsia="zh-CN"/>
        </w:rPr>
        <w:t>Daarnaast</w:t>
      </w:r>
      <w:r w:rsidRPr="00F50F0C" w:rsidR="00FC3416">
        <w:rPr>
          <w:rFonts w:ascii="Verdana" w:hAnsi="Verdana"/>
          <w:kern w:val="0"/>
          <w:lang w:eastAsia="zh-CN"/>
        </w:rPr>
        <w:t xml:space="preserve"> </w:t>
      </w:r>
      <w:r w:rsidRPr="00F50F0C" w:rsidR="00CD3E10">
        <w:rPr>
          <w:rFonts w:ascii="Verdana" w:hAnsi="Verdana"/>
          <w:kern w:val="0"/>
          <w:lang w:eastAsia="zh-CN"/>
        </w:rPr>
        <w:t>verwelkom</w:t>
      </w:r>
      <w:r w:rsidRPr="00F50F0C" w:rsidR="0061622D">
        <w:rPr>
          <w:rFonts w:ascii="Verdana" w:hAnsi="Verdana"/>
          <w:kern w:val="0"/>
          <w:lang w:eastAsia="zh-CN"/>
        </w:rPr>
        <w:t>t</w:t>
      </w:r>
      <w:r w:rsidRPr="00F50F0C" w:rsidR="00CD3E10">
        <w:rPr>
          <w:rFonts w:ascii="Verdana" w:hAnsi="Verdana"/>
          <w:kern w:val="0"/>
          <w:lang w:eastAsia="zh-CN"/>
        </w:rPr>
        <w:t xml:space="preserve"> </w:t>
      </w:r>
      <w:r w:rsidRPr="00F50F0C" w:rsidR="00FC3416">
        <w:rPr>
          <w:rFonts w:ascii="Verdana" w:hAnsi="Verdana"/>
          <w:kern w:val="0"/>
          <w:lang w:eastAsia="zh-CN"/>
        </w:rPr>
        <w:t>het kabinet het aanstippen van de</w:t>
      </w:r>
      <w:r w:rsidRPr="00F50F0C" w:rsidR="00CD3E10">
        <w:rPr>
          <w:rFonts w:ascii="Verdana" w:hAnsi="Verdana"/>
          <w:kern w:val="0"/>
          <w:lang w:eastAsia="zh-CN"/>
        </w:rPr>
        <w:t xml:space="preserve"> vereenvoudiging van de procedures en </w:t>
      </w:r>
      <w:r w:rsidRPr="00F50F0C" w:rsidR="00FC3416">
        <w:rPr>
          <w:rFonts w:ascii="Verdana" w:hAnsi="Verdana"/>
          <w:kern w:val="0"/>
          <w:lang w:eastAsia="zh-CN"/>
        </w:rPr>
        <w:t>het verbeteren van de</w:t>
      </w:r>
      <w:r w:rsidRPr="00F50F0C" w:rsidR="00CD3E10">
        <w:rPr>
          <w:rFonts w:ascii="Verdana" w:hAnsi="Verdana"/>
          <w:kern w:val="0"/>
          <w:lang w:eastAsia="zh-CN"/>
        </w:rPr>
        <w:t xml:space="preserve"> aansluiting op de brede EU</w:t>
      </w:r>
      <w:r w:rsidRPr="00F50F0C">
        <w:rPr>
          <w:rFonts w:ascii="Verdana" w:hAnsi="Verdana"/>
          <w:kern w:val="0"/>
          <w:lang w:eastAsia="zh-CN"/>
        </w:rPr>
        <w:t>-</w:t>
      </w:r>
      <w:r w:rsidRPr="00F50F0C" w:rsidR="00CD3E10">
        <w:rPr>
          <w:rFonts w:ascii="Verdana" w:hAnsi="Verdana"/>
          <w:kern w:val="0"/>
          <w:lang w:eastAsia="zh-CN"/>
        </w:rPr>
        <w:t xml:space="preserve">financieringsarchitectuur. </w:t>
      </w:r>
    </w:p>
    <w:p w:rsidR="005833B8" w:rsidP="000970FB" w:rsidRDefault="005833B8" w14:paraId="1D175336" w14:textId="77777777">
      <w:pPr>
        <w:pStyle w:val="Basis"/>
        <w:spacing w:line="360" w:lineRule="auto"/>
        <w:jc w:val="both"/>
        <w:rPr>
          <w:rFonts w:ascii="Verdana" w:hAnsi="Verdana"/>
          <w:iCs/>
          <w:kern w:val="0"/>
          <w:szCs w:val="18"/>
          <w:lang w:eastAsia="zh-CN"/>
        </w:rPr>
      </w:pPr>
    </w:p>
    <w:p w:rsidRPr="00605154" w:rsidR="005833B8" w:rsidP="000970FB" w:rsidRDefault="005833B8" w14:paraId="714A6166" w14:textId="6D16C1D7">
      <w:pPr>
        <w:pStyle w:val="Basis"/>
        <w:spacing w:line="360" w:lineRule="auto"/>
        <w:jc w:val="both"/>
        <w:rPr>
          <w:rFonts w:ascii="Verdana" w:hAnsi="Verdana"/>
        </w:rPr>
      </w:pPr>
      <w:r w:rsidRPr="00F50F0C">
        <w:rPr>
          <w:rFonts w:ascii="Verdana" w:hAnsi="Verdana"/>
          <w:kern w:val="0"/>
          <w:lang w:eastAsia="zh-CN"/>
        </w:rPr>
        <w:t xml:space="preserve">In het nieuwe LGO besluit wordt onder meer ingezet op klimaat, digitale connectiviteit, educatie, toerisme. Ook wordt ingezet op voedselzekerheid, wat als aanvulling kan dienen op de bestaande </w:t>
      </w:r>
      <w:r w:rsidRPr="00F50F0C">
        <w:rPr>
          <w:rFonts w:ascii="Verdana" w:hAnsi="Verdana"/>
          <w:kern w:val="0"/>
          <w:lang w:eastAsia="zh-CN"/>
        </w:rPr>
        <w:lastRenderedPageBreak/>
        <w:t xml:space="preserve">inzet van het kabinet op dit gebied. Nederland is positief over deze brede aanpak die de Commissie voorstelt. Deze brede aanpak kan verder worden uitgewerkt in concrete programma’s in de LGO. </w:t>
      </w:r>
    </w:p>
    <w:p w:rsidRPr="00CD3E10" w:rsidR="00ED491C" w:rsidP="000970FB" w:rsidRDefault="00ED491C" w14:paraId="6D78BC4C" w14:textId="50ECDDF0">
      <w:pPr>
        <w:pStyle w:val="Basis"/>
        <w:spacing w:line="360" w:lineRule="auto"/>
        <w:jc w:val="both"/>
        <w:rPr>
          <w:rFonts w:ascii="Verdana" w:hAnsi="Verdana"/>
          <w:iCs/>
          <w:kern w:val="0"/>
          <w:szCs w:val="18"/>
          <w:lang w:eastAsia="zh-CN"/>
        </w:rPr>
      </w:pPr>
    </w:p>
    <w:p w:rsidRPr="00605154" w:rsidR="007368B8" w:rsidP="000970FB" w:rsidRDefault="00FC3416" w14:paraId="1EDCEA32" w14:textId="4B71B998">
      <w:pPr>
        <w:pStyle w:val="Basis"/>
        <w:spacing w:line="360" w:lineRule="auto"/>
        <w:jc w:val="both"/>
        <w:rPr>
          <w:rFonts w:ascii="Verdana" w:hAnsi="Verdana"/>
          <w:kern w:val="0"/>
          <w:lang w:eastAsia="zh-CN"/>
        </w:rPr>
      </w:pPr>
      <w:r w:rsidRPr="00F50F0C">
        <w:rPr>
          <w:rFonts w:ascii="Verdana" w:hAnsi="Verdana"/>
          <w:kern w:val="0"/>
          <w:lang w:eastAsia="zh-CN"/>
        </w:rPr>
        <w:t>Het kabinet verwelkomd het voornemen van de Commissie voor</w:t>
      </w:r>
      <w:r w:rsidRPr="00F50F0C" w:rsidR="00242246">
        <w:rPr>
          <w:rFonts w:ascii="Verdana" w:hAnsi="Verdana"/>
          <w:kern w:val="0"/>
          <w:lang w:eastAsia="zh-CN"/>
        </w:rPr>
        <w:t xml:space="preserve"> verdere regionale integratie van de LGO door een betere aansluiting op de Global Gateway strategie voor te stellen en toegang te verlenen tot aanvullende financiering via het Global Europe instrument. </w:t>
      </w:r>
      <w:r w:rsidRPr="00F50F0C" w:rsidR="006276DD">
        <w:rPr>
          <w:rFonts w:ascii="Verdana" w:hAnsi="Verdana"/>
          <w:kern w:val="0"/>
          <w:lang w:eastAsia="zh-CN"/>
        </w:rPr>
        <w:t xml:space="preserve">Hoewel </w:t>
      </w:r>
      <w:r w:rsidRPr="00F50F0C" w:rsidR="005130BD">
        <w:rPr>
          <w:rFonts w:ascii="Verdana" w:hAnsi="Verdana"/>
          <w:kern w:val="0"/>
          <w:lang w:eastAsia="zh-CN"/>
        </w:rPr>
        <w:t xml:space="preserve">het kabinet </w:t>
      </w:r>
      <w:r w:rsidRPr="00F50F0C" w:rsidR="006276DD">
        <w:rPr>
          <w:rFonts w:ascii="Verdana" w:hAnsi="Verdana"/>
          <w:kern w:val="0"/>
          <w:lang w:eastAsia="zh-CN"/>
        </w:rPr>
        <w:t>bovenstaande voorstellen als zeer positief beschouwd, blijft nog onduidelijk op welke</w:t>
      </w:r>
      <w:r w:rsidRPr="00F50F0C" w:rsidR="00CD3E10">
        <w:rPr>
          <w:rFonts w:ascii="Verdana" w:hAnsi="Verdana"/>
          <w:kern w:val="0"/>
          <w:lang w:eastAsia="zh-CN"/>
        </w:rPr>
        <w:t xml:space="preserve"> wijze de </w:t>
      </w:r>
      <w:r w:rsidRPr="00F50F0C" w:rsidR="00D45DCF">
        <w:rPr>
          <w:rFonts w:ascii="Verdana" w:hAnsi="Verdana"/>
          <w:kern w:val="0"/>
          <w:lang w:eastAsia="zh-CN"/>
        </w:rPr>
        <w:t>LGO</w:t>
      </w:r>
      <w:r w:rsidRPr="00F50F0C" w:rsidR="00CD3E10">
        <w:rPr>
          <w:rFonts w:ascii="Verdana" w:hAnsi="Verdana"/>
          <w:kern w:val="0"/>
          <w:lang w:eastAsia="zh-CN"/>
        </w:rPr>
        <w:t xml:space="preserve"> </w:t>
      </w:r>
      <w:r w:rsidRPr="00F50F0C" w:rsidR="00EE2F25">
        <w:rPr>
          <w:rFonts w:ascii="Verdana" w:hAnsi="Verdana"/>
          <w:kern w:val="0"/>
          <w:lang w:eastAsia="zh-CN"/>
        </w:rPr>
        <w:t xml:space="preserve">hiervan gebruik </w:t>
      </w:r>
      <w:r w:rsidRPr="00F50F0C" w:rsidR="00CD3E10">
        <w:rPr>
          <w:rFonts w:ascii="Verdana" w:hAnsi="Verdana"/>
          <w:kern w:val="0"/>
          <w:lang w:eastAsia="zh-CN"/>
        </w:rPr>
        <w:t>kunnen maken.</w:t>
      </w:r>
      <w:r w:rsidRPr="00F50F0C" w:rsidR="007368B8">
        <w:rPr>
          <w:rFonts w:ascii="Verdana" w:hAnsi="Verdana"/>
          <w:kern w:val="0"/>
          <w:lang w:eastAsia="zh-CN"/>
        </w:rPr>
        <w:t xml:space="preserve"> Aanvullend zal het kabinet </w:t>
      </w:r>
      <w:r w:rsidRPr="00F50F0C" w:rsidR="0067011E">
        <w:rPr>
          <w:rFonts w:ascii="Verdana" w:hAnsi="Verdana"/>
          <w:kern w:val="0"/>
          <w:lang w:eastAsia="zh-CN"/>
        </w:rPr>
        <w:t xml:space="preserve">de mogelijkheden voor </w:t>
      </w:r>
      <w:proofErr w:type="spellStart"/>
      <w:r w:rsidRPr="00F50F0C" w:rsidR="0067011E">
        <w:rPr>
          <w:rFonts w:ascii="Verdana" w:hAnsi="Verdana"/>
          <w:kern w:val="0"/>
          <w:lang w:eastAsia="zh-CN"/>
        </w:rPr>
        <w:t>LGO’s</w:t>
      </w:r>
      <w:proofErr w:type="spellEnd"/>
      <w:r w:rsidRPr="00F50F0C" w:rsidR="0067011E">
        <w:rPr>
          <w:rFonts w:ascii="Verdana" w:hAnsi="Verdana"/>
          <w:kern w:val="0"/>
          <w:lang w:eastAsia="zh-CN"/>
        </w:rPr>
        <w:t xml:space="preserve"> binnen </w:t>
      </w:r>
      <w:proofErr w:type="spellStart"/>
      <w:r w:rsidRPr="00F50F0C" w:rsidR="0067011E">
        <w:rPr>
          <w:rFonts w:ascii="Verdana" w:hAnsi="Verdana"/>
          <w:kern w:val="0"/>
          <w:lang w:eastAsia="zh-CN"/>
        </w:rPr>
        <w:t>Interreg</w:t>
      </w:r>
      <w:proofErr w:type="spellEnd"/>
      <w:r w:rsidRPr="00F50F0C" w:rsidR="0067011E">
        <w:rPr>
          <w:rFonts w:ascii="Verdana" w:hAnsi="Verdana"/>
          <w:kern w:val="0"/>
          <w:lang w:eastAsia="zh-CN"/>
        </w:rPr>
        <w:t xml:space="preserve"> nader verkennen.</w:t>
      </w:r>
      <w:r w:rsidR="00167E12">
        <w:rPr>
          <w:rStyle w:val="FootnoteReference"/>
          <w:rFonts w:ascii="Verdana" w:hAnsi="Verdana"/>
          <w:kern w:val="0"/>
          <w:lang w:eastAsia="zh-CN"/>
        </w:rPr>
        <w:footnoteReference w:id="9"/>
      </w:r>
      <w:r w:rsidRPr="00F50F0C" w:rsidR="0067011E">
        <w:rPr>
          <w:rFonts w:ascii="Verdana" w:hAnsi="Verdana"/>
          <w:kern w:val="0"/>
          <w:lang w:eastAsia="zh-CN"/>
        </w:rPr>
        <w:t xml:space="preserve"> Momenteel kunnen de LGO uitsluitend deelnemen aan </w:t>
      </w:r>
      <w:proofErr w:type="spellStart"/>
      <w:r w:rsidRPr="00F50F0C" w:rsidR="0067011E">
        <w:rPr>
          <w:rFonts w:ascii="Verdana" w:hAnsi="Verdana"/>
          <w:kern w:val="0"/>
          <w:lang w:eastAsia="zh-CN"/>
        </w:rPr>
        <w:t>Interreg</w:t>
      </w:r>
      <w:proofErr w:type="spellEnd"/>
      <w:r w:rsidRPr="00F50F0C" w:rsidR="0067011E">
        <w:rPr>
          <w:rFonts w:ascii="Verdana" w:hAnsi="Verdana"/>
          <w:kern w:val="0"/>
          <w:lang w:eastAsia="zh-CN"/>
        </w:rPr>
        <w:t>-projecten (</w:t>
      </w:r>
      <w:r w:rsidRPr="00F50F0C" w:rsidR="007368B8">
        <w:rPr>
          <w:rFonts w:ascii="Verdana" w:hAnsi="Verdana"/>
          <w:kern w:val="0"/>
          <w:lang w:eastAsia="zh-CN"/>
        </w:rPr>
        <w:t xml:space="preserve">specifiek </w:t>
      </w:r>
      <w:r w:rsidRPr="00F50F0C" w:rsidR="007368B8">
        <w:rPr>
          <w:rFonts w:ascii="Verdana" w:hAnsi="Verdana"/>
          <w:i/>
          <w:iCs/>
          <w:kern w:val="0"/>
          <w:lang w:eastAsia="zh-CN"/>
        </w:rPr>
        <w:t>Strand D</w:t>
      </w:r>
      <w:r w:rsidRPr="00F50F0C" w:rsidR="007368B8">
        <w:rPr>
          <w:rFonts w:ascii="Verdana" w:hAnsi="Verdana"/>
          <w:kern w:val="0"/>
          <w:lang w:eastAsia="zh-CN"/>
        </w:rPr>
        <w:t xml:space="preserve">) in samenwerking met een UPG of </w:t>
      </w:r>
      <w:r w:rsidRPr="00F50F0C" w:rsidR="0067011E">
        <w:rPr>
          <w:rFonts w:ascii="Verdana" w:hAnsi="Verdana"/>
          <w:kern w:val="0"/>
          <w:lang w:eastAsia="zh-CN"/>
        </w:rPr>
        <w:t xml:space="preserve">andere </w:t>
      </w:r>
      <w:r w:rsidRPr="00F50F0C" w:rsidR="007368B8">
        <w:rPr>
          <w:rFonts w:ascii="Verdana" w:hAnsi="Verdana"/>
          <w:kern w:val="0"/>
          <w:lang w:eastAsia="zh-CN"/>
        </w:rPr>
        <w:t xml:space="preserve">lidstaten, </w:t>
      </w:r>
      <w:r w:rsidRPr="00F50F0C" w:rsidR="0067011E">
        <w:rPr>
          <w:rFonts w:ascii="Verdana" w:hAnsi="Verdana"/>
          <w:kern w:val="0"/>
          <w:lang w:eastAsia="zh-CN"/>
        </w:rPr>
        <w:t xml:space="preserve">en enkel </w:t>
      </w:r>
      <w:r w:rsidRPr="00F50F0C" w:rsidR="007368B8">
        <w:rPr>
          <w:rFonts w:ascii="Verdana" w:hAnsi="Verdana"/>
          <w:kern w:val="0"/>
          <w:lang w:eastAsia="zh-CN"/>
        </w:rPr>
        <w:t>op initiatief van deze UPG.</w:t>
      </w:r>
    </w:p>
    <w:p w:rsidR="007368B8" w:rsidP="000970FB" w:rsidRDefault="007368B8" w14:paraId="6409439B" w14:textId="77777777">
      <w:pPr>
        <w:pStyle w:val="Basis"/>
        <w:spacing w:line="360" w:lineRule="auto"/>
        <w:jc w:val="both"/>
        <w:rPr>
          <w:rFonts w:ascii="Verdana" w:hAnsi="Verdana"/>
          <w:iCs/>
          <w:kern w:val="0"/>
          <w:szCs w:val="18"/>
          <w:lang w:eastAsia="zh-CN"/>
        </w:rPr>
      </w:pPr>
    </w:p>
    <w:p w:rsidRPr="00605154" w:rsidR="00ED491C" w:rsidP="000970FB" w:rsidRDefault="007368B8" w14:paraId="3D521030" w14:textId="3439F525">
      <w:pPr>
        <w:pStyle w:val="Basis"/>
        <w:spacing w:line="360" w:lineRule="auto"/>
        <w:jc w:val="both"/>
        <w:rPr>
          <w:rFonts w:ascii="Verdana" w:hAnsi="Verdana"/>
          <w:kern w:val="0"/>
          <w:lang w:eastAsia="zh-CN"/>
        </w:rPr>
      </w:pPr>
      <w:r w:rsidRPr="00F50F0C">
        <w:rPr>
          <w:rFonts w:ascii="Verdana" w:hAnsi="Verdana"/>
          <w:kern w:val="0"/>
          <w:lang w:eastAsia="zh-CN"/>
        </w:rPr>
        <w:t xml:space="preserve">Daarnaast verwelkomt het kabinet dat de noodzaak tot vereenvoudiging van de procedures </w:t>
      </w:r>
      <w:r w:rsidRPr="00F50F0C" w:rsidR="00FF1C6F">
        <w:rPr>
          <w:rFonts w:ascii="Verdana" w:hAnsi="Verdana"/>
          <w:kern w:val="0"/>
          <w:lang w:eastAsia="zh-CN"/>
        </w:rPr>
        <w:t xml:space="preserve">binnen het LGO-besluit </w:t>
      </w:r>
      <w:r w:rsidRPr="00F50F0C">
        <w:rPr>
          <w:rFonts w:ascii="Verdana" w:hAnsi="Verdana"/>
          <w:kern w:val="0"/>
          <w:lang w:eastAsia="zh-CN"/>
        </w:rPr>
        <w:t xml:space="preserve">wordt aangestipt. </w:t>
      </w:r>
      <w:r w:rsidRPr="00F50F0C" w:rsidR="006276DD">
        <w:rPr>
          <w:rFonts w:ascii="Verdana" w:hAnsi="Verdana"/>
          <w:kern w:val="0"/>
          <w:lang w:eastAsia="zh-CN"/>
        </w:rPr>
        <w:t>In</w:t>
      </w:r>
      <w:r w:rsidRPr="00F50F0C">
        <w:rPr>
          <w:rFonts w:ascii="Verdana" w:hAnsi="Verdana"/>
          <w:kern w:val="0"/>
          <w:lang w:eastAsia="zh-CN"/>
        </w:rPr>
        <w:t xml:space="preserve"> dat kader zal het kabinet in</w:t>
      </w:r>
      <w:r w:rsidRPr="00F50F0C" w:rsidR="006276DD">
        <w:rPr>
          <w:rFonts w:ascii="Verdana" w:hAnsi="Verdana"/>
          <w:kern w:val="0"/>
          <w:lang w:eastAsia="zh-CN"/>
        </w:rPr>
        <w:t xml:space="preserve"> de uitwerking van dit voorstel </w:t>
      </w:r>
      <w:r w:rsidRPr="00F50F0C" w:rsidR="00CD3E10">
        <w:rPr>
          <w:rFonts w:ascii="Verdana" w:hAnsi="Verdana"/>
          <w:kern w:val="0"/>
          <w:lang w:eastAsia="zh-CN"/>
        </w:rPr>
        <w:t>pleiten voor op de LGO toegesneden formats voor het indienen van voorstellen en de rapportageverplichtingen.</w:t>
      </w:r>
    </w:p>
    <w:p w:rsidRPr="00CD3E10" w:rsidR="00ED491C" w:rsidP="000970FB" w:rsidRDefault="00ED491C" w14:paraId="1FE5A7C3" w14:textId="77777777">
      <w:pPr>
        <w:pStyle w:val="Basis"/>
        <w:spacing w:line="360" w:lineRule="auto"/>
        <w:jc w:val="both"/>
        <w:rPr>
          <w:rFonts w:ascii="Verdana" w:hAnsi="Verdana"/>
          <w:iCs/>
          <w:kern w:val="0"/>
          <w:szCs w:val="18"/>
          <w:lang w:eastAsia="zh-CN"/>
        </w:rPr>
      </w:pPr>
    </w:p>
    <w:p w:rsidRPr="00605154" w:rsidR="0031232E" w:rsidP="000970FB" w:rsidRDefault="00BB0A19" w14:paraId="6A3DC75D" w14:textId="29C124FB">
      <w:pPr>
        <w:pStyle w:val="Basis"/>
        <w:spacing w:line="360" w:lineRule="auto"/>
        <w:jc w:val="both"/>
        <w:rPr>
          <w:rFonts w:ascii="Verdana" w:hAnsi="Verdana"/>
          <w:kern w:val="0"/>
          <w:lang w:eastAsia="zh-CN"/>
        </w:rPr>
      </w:pPr>
      <w:r w:rsidRPr="00F50F0C">
        <w:rPr>
          <w:rFonts w:ascii="Verdana" w:hAnsi="Verdana"/>
          <w:kern w:val="0"/>
          <w:lang w:eastAsia="zh-CN"/>
        </w:rPr>
        <w:t xml:space="preserve">Het kabinet verwelkomd het voorstel om het EU-LGO forum niet jaarlijks, maar tweejaarlijks te laten plaatsvinden. Het </w:t>
      </w:r>
      <w:r w:rsidRPr="00F50F0C" w:rsidR="00CD3E10">
        <w:rPr>
          <w:rFonts w:ascii="Verdana" w:hAnsi="Verdana"/>
          <w:kern w:val="0"/>
          <w:lang w:eastAsia="zh-CN"/>
        </w:rPr>
        <w:t xml:space="preserve">kabinet ziet hierin net als de </w:t>
      </w:r>
      <w:r w:rsidRPr="00F50F0C" w:rsidR="0075266E">
        <w:rPr>
          <w:rFonts w:ascii="Verdana" w:hAnsi="Verdana"/>
          <w:kern w:val="0"/>
          <w:lang w:eastAsia="zh-CN"/>
        </w:rPr>
        <w:t>Commissie</w:t>
      </w:r>
      <w:r w:rsidRPr="00F50F0C" w:rsidR="00CD3E10">
        <w:rPr>
          <w:rFonts w:ascii="Verdana" w:hAnsi="Verdana"/>
          <w:kern w:val="0"/>
          <w:lang w:eastAsia="zh-CN"/>
        </w:rPr>
        <w:t xml:space="preserve"> een mogelijkheid om de strategische waarde van dit overleg te vergroten, waarbij de rol van de betrokken lidstaten beter moet worden uitgewerkt. Gerelateerd aan de dialoogstructuur zal het kabinet zich inzetten om de positie van de lidstaten in het voorstel te verduidelijken ten aanzien van de totstandkoming en voortgang van de </w:t>
      </w:r>
      <w:r w:rsidRPr="00605154" w:rsidR="00CD3E10">
        <w:rPr>
          <w:rFonts w:ascii="Verdana" w:hAnsi="Verdana"/>
          <w:i/>
          <w:iCs/>
          <w:kern w:val="0"/>
          <w:lang w:eastAsia="zh-CN"/>
        </w:rPr>
        <w:t xml:space="preserve">Multiannual </w:t>
      </w:r>
      <w:proofErr w:type="spellStart"/>
      <w:r w:rsidRPr="00605154" w:rsidR="00CD3E10">
        <w:rPr>
          <w:rFonts w:ascii="Verdana" w:hAnsi="Verdana"/>
          <w:i/>
          <w:iCs/>
          <w:kern w:val="0"/>
          <w:lang w:eastAsia="zh-CN"/>
        </w:rPr>
        <w:t>Indicative</w:t>
      </w:r>
      <w:proofErr w:type="spellEnd"/>
      <w:r w:rsidRPr="00605154" w:rsidR="00CD3E10">
        <w:rPr>
          <w:rFonts w:ascii="Verdana" w:hAnsi="Verdana"/>
          <w:i/>
          <w:iCs/>
          <w:kern w:val="0"/>
          <w:lang w:eastAsia="zh-CN"/>
        </w:rPr>
        <w:t xml:space="preserve"> </w:t>
      </w:r>
      <w:proofErr w:type="spellStart"/>
      <w:r w:rsidRPr="00605154" w:rsidR="00CD3E10">
        <w:rPr>
          <w:rFonts w:ascii="Verdana" w:hAnsi="Verdana"/>
          <w:i/>
          <w:iCs/>
          <w:kern w:val="0"/>
          <w:lang w:eastAsia="zh-CN"/>
        </w:rPr>
        <w:t>Programmes</w:t>
      </w:r>
      <w:proofErr w:type="spellEnd"/>
      <w:r w:rsidRPr="00F50F0C" w:rsidR="00CD3E10">
        <w:rPr>
          <w:rFonts w:ascii="Verdana" w:hAnsi="Verdana"/>
          <w:kern w:val="0"/>
          <w:lang w:eastAsia="zh-CN"/>
        </w:rPr>
        <w:t xml:space="preserve"> (</w:t>
      </w:r>
      <w:proofErr w:type="spellStart"/>
      <w:r w:rsidRPr="00F50F0C" w:rsidR="00CD3E10">
        <w:rPr>
          <w:rFonts w:ascii="Verdana" w:hAnsi="Verdana"/>
          <w:kern w:val="0"/>
          <w:lang w:eastAsia="zh-CN"/>
        </w:rPr>
        <w:t>MIP</w:t>
      </w:r>
      <w:r w:rsidRPr="00F50F0C" w:rsidR="0086004C">
        <w:rPr>
          <w:rFonts w:ascii="Verdana" w:hAnsi="Verdana"/>
          <w:kern w:val="0"/>
          <w:lang w:eastAsia="zh-CN"/>
        </w:rPr>
        <w:t>’</w:t>
      </w:r>
      <w:r w:rsidRPr="00F50F0C" w:rsidR="00CD3E10">
        <w:rPr>
          <w:rFonts w:ascii="Verdana" w:hAnsi="Verdana"/>
          <w:kern w:val="0"/>
          <w:lang w:eastAsia="zh-CN"/>
        </w:rPr>
        <w:t>s</w:t>
      </w:r>
      <w:proofErr w:type="spellEnd"/>
      <w:r w:rsidRPr="00F50F0C" w:rsidR="00CD3E10">
        <w:rPr>
          <w:rFonts w:ascii="Verdana" w:hAnsi="Verdana"/>
          <w:kern w:val="0"/>
          <w:lang w:eastAsia="zh-CN"/>
        </w:rPr>
        <w:t xml:space="preserve">). Op dit moment is de rol van de lidstaat in dit proces niet geheel duidelijk, terwijl in het geval van onvoorziene omstandigheden de lidstaat hier wel op wordt aangesproken. Een periodiek overleg tussen de LGO, de EU delegatie in Barbados en de lidstaat zou </w:t>
      </w:r>
      <w:r w:rsidRPr="00F50F0C" w:rsidR="00B00305">
        <w:rPr>
          <w:rFonts w:ascii="Verdana" w:hAnsi="Verdana"/>
          <w:kern w:val="0"/>
          <w:lang w:eastAsia="zh-CN"/>
        </w:rPr>
        <w:t xml:space="preserve">kunnen bijdragen aan (1) meer duidelijkheid over rollen en verantwoordelijkheden, (2) een betere afstemming bij de totstandkoming en uitvoering van de </w:t>
      </w:r>
      <w:proofErr w:type="spellStart"/>
      <w:r w:rsidRPr="00F50F0C" w:rsidR="00B00305">
        <w:rPr>
          <w:rFonts w:ascii="Verdana" w:hAnsi="Verdana"/>
          <w:kern w:val="0"/>
          <w:lang w:eastAsia="zh-CN"/>
        </w:rPr>
        <w:t>MIP’s</w:t>
      </w:r>
      <w:proofErr w:type="spellEnd"/>
      <w:r w:rsidRPr="00F50F0C" w:rsidR="00B00305">
        <w:rPr>
          <w:rFonts w:ascii="Verdana" w:hAnsi="Verdana"/>
          <w:kern w:val="0"/>
          <w:lang w:eastAsia="zh-CN"/>
        </w:rPr>
        <w:t xml:space="preserve"> en (3) de vroegtijdige signalering van knelpunten en benodigde ondersteuning. </w:t>
      </w:r>
    </w:p>
    <w:p w:rsidR="00ED491C" w:rsidP="000970FB" w:rsidRDefault="00ED491C" w14:paraId="2DB0096C" w14:textId="77777777">
      <w:pPr>
        <w:pStyle w:val="Basis"/>
        <w:spacing w:line="360" w:lineRule="auto"/>
        <w:jc w:val="both"/>
        <w:rPr>
          <w:rFonts w:ascii="Verdana" w:hAnsi="Verdana"/>
          <w:iCs/>
          <w:kern w:val="0"/>
          <w:szCs w:val="18"/>
          <w:lang w:eastAsia="zh-CN"/>
        </w:rPr>
      </w:pPr>
    </w:p>
    <w:p w:rsidRPr="00605154" w:rsidR="00ED491C" w:rsidP="000970FB" w:rsidRDefault="001F7116" w14:paraId="62D1E15B" w14:textId="31ADAC2B">
      <w:pPr>
        <w:pStyle w:val="Basis"/>
        <w:spacing w:line="360" w:lineRule="auto"/>
        <w:jc w:val="both"/>
        <w:rPr>
          <w:rFonts w:ascii="Verdana" w:hAnsi="Verdana"/>
          <w:kern w:val="0"/>
          <w:lang w:eastAsia="zh-CN"/>
        </w:rPr>
      </w:pPr>
      <w:r w:rsidRPr="00F50F0C">
        <w:rPr>
          <w:rFonts w:ascii="Verdana" w:hAnsi="Verdana"/>
          <w:kern w:val="0"/>
          <w:lang w:eastAsia="zh-CN"/>
        </w:rPr>
        <w:t>Ten aanzien van</w:t>
      </w:r>
      <w:r w:rsidRPr="00F50F0C" w:rsidR="00CD3E10">
        <w:rPr>
          <w:rFonts w:ascii="Verdana" w:hAnsi="Verdana"/>
          <w:kern w:val="0"/>
          <w:lang w:eastAsia="zh-CN"/>
        </w:rPr>
        <w:t xml:space="preserve"> de samenvoeging van de territoriale en regionale enveloppen en de algehele allocatie van middelen zal </w:t>
      </w:r>
      <w:r w:rsidRPr="00F50F0C" w:rsidR="007368B8">
        <w:rPr>
          <w:rFonts w:ascii="Verdana" w:hAnsi="Verdana"/>
          <w:kern w:val="0"/>
          <w:lang w:eastAsia="zh-CN"/>
        </w:rPr>
        <w:t>het kabinet de Commissie</w:t>
      </w:r>
      <w:r w:rsidRPr="00F50F0C" w:rsidR="00CD3E10">
        <w:rPr>
          <w:rFonts w:ascii="Verdana" w:hAnsi="Verdana"/>
          <w:kern w:val="0"/>
          <w:lang w:eastAsia="zh-CN"/>
        </w:rPr>
        <w:t xml:space="preserve"> verzoeken om verduidelijking, ook ten aanzien van de omvang van niet op voorhand gealloceerde middelen en de besluitvorming over de aanwending hiervan.</w:t>
      </w:r>
    </w:p>
    <w:p w:rsidRPr="00ED491C" w:rsidR="00ED491C" w:rsidP="000970FB" w:rsidRDefault="00ED491C" w14:paraId="5544BF72" w14:textId="77777777">
      <w:pPr>
        <w:pStyle w:val="Basis"/>
        <w:spacing w:line="360" w:lineRule="auto"/>
        <w:jc w:val="both"/>
        <w:rPr>
          <w:rFonts w:ascii="Verdana" w:hAnsi="Verdana"/>
          <w:iCs/>
          <w:kern w:val="0"/>
          <w:szCs w:val="18"/>
          <w:lang w:eastAsia="zh-CN"/>
        </w:rPr>
      </w:pPr>
    </w:p>
    <w:p w:rsidRPr="005B7800" w:rsidR="00ED491C" w:rsidP="000970FB" w:rsidRDefault="00CD3E10" w14:paraId="004CF618" w14:textId="6DB9104D">
      <w:pPr>
        <w:spacing w:line="360" w:lineRule="auto"/>
        <w:jc w:val="both"/>
        <w:rPr>
          <w:rFonts w:ascii="Verdana" w:hAnsi="Verdana"/>
          <w:sz w:val="18"/>
          <w:szCs w:val="18"/>
        </w:rPr>
      </w:pPr>
      <w:r w:rsidRPr="00F50F0C">
        <w:rPr>
          <w:rFonts w:ascii="Verdana" w:hAnsi="Verdana"/>
          <w:sz w:val="18"/>
          <w:szCs w:val="18"/>
        </w:rPr>
        <w:t xml:space="preserve">Hoewel het aanbieden van een leenfaciliteit een welkom aanvullend instrument kan zijn voor de </w:t>
      </w:r>
      <w:r w:rsidRPr="00F50F0C" w:rsidR="00D45DCF">
        <w:rPr>
          <w:rFonts w:ascii="Verdana" w:hAnsi="Verdana"/>
          <w:sz w:val="18"/>
          <w:szCs w:val="18"/>
        </w:rPr>
        <w:t>LGO</w:t>
      </w:r>
      <w:r w:rsidRPr="00F50F0C">
        <w:rPr>
          <w:rFonts w:ascii="Verdana" w:hAnsi="Verdana"/>
          <w:sz w:val="18"/>
          <w:szCs w:val="18"/>
        </w:rPr>
        <w:t xml:space="preserve"> is er nog onduidelijkheid over de voorwaarden voor het gebruik hiervan. Bovendien heeft dit raakvlakken met bestaande (rijks-)wetgeving. Het kabinet zal zich inspannen om het voorstel te </w:t>
      </w:r>
      <w:r w:rsidRPr="00F50F0C" w:rsidR="0075266E">
        <w:rPr>
          <w:rFonts w:ascii="Verdana" w:hAnsi="Verdana"/>
          <w:sz w:val="18"/>
          <w:szCs w:val="18"/>
        </w:rPr>
        <w:t xml:space="preserve">laten </w:t>
      </w:r>
      <w:r w:rsidRPr="00F50F0C">
        <w:rPr>
          <w:rFonts w:ascii="Verdana" w:hAnsi="Verdana"/>
          <w:sz w:val="18"/>
          <w:szCs w:val="18"/>
        </w:rPr>
        <w:t xml:space="preserve">verduidelijken met betrekking tot deze </w:t>
      </w:r>
      <w:r w:rsidRPr="00F50F0C" w:rsidR="007368B8">
        <w:rPr>
          <w:rFonts w:ascii="Verdana" w:hAnsi="Verdana"/>
          <w:sz w:val="18"/>
          <w:szCs w:val="18"/>
        </w:rPr>
        <w:t>lenings</w:t>
      </w:r>
      <w:r w:rsidRPr="00F50F0C">
        <w:rPr>
          <w:rFonts w:ascii="Verdana" w:hAnsi="Verdana"/>
          <w:sz w:val="18"/>
          <w:szCs w:val="18"/>
        </w:rPr>
        <w:t>voorwaarden.</w:t>
      </w:r>
      <w:r w:rsidRPr="00F50F0C" w:rsidR="00CA1199">
        <w:rPr>
          <w:rFonts w:ascii="Verdana" w:hAnsi="Verdana"/>
          <w:sz w:val="18"/>
          <w:szCs w:val="18"/>
        </w:rPr>
        <w:t xml:space="preserve"> Belangrijk is dat deze voorwaarden transparant en flexibel zijn, en er coherentie is met bestaande wetgeving en financiële kaders binnen het Koninkrijk.</w:t>
      </w:r>
    </w:p>
    <w:p w:rsidRPr="00605154" w:rsidR="00F74E07" w:rsidP="000970FB" w:rsidRDefault="0018227F" w14:paraId="5A509F6A" w14:textId="77777777">
      <w:pPr>
        <w:numPr>
          <w:ilvl w:val="0"/>
          <w:numId w:val="6"/>
        </w:numPr>
        <w:spacing w:line="360" w:lineRule="auto"/>
        <w:jc w:val="both"/>
        <w:rPr>
          <w:rFonts w:ascii="Verdana" w:hAnsi="Verdana"/>
          <w:i/>
          <w:iCs/>
          <w:sz w:val="18"/>
          <w:szCs w:val="18"/>
        </w:rPr>
      </w:pPr>
      <w:r w:rsidRPr="00F50F0C">
        <w:rPr>
          <w:rFonts w:ascii="Verdana" w:hAnsi="Verdana"/>
          <w:i/>
          <w:iCs/>
          <w:sz w:val="18"/>
          <w:szCs w:val="18"/>
        </w:rPr>
        <w:lastRenderedPageBreak/>
        <w:t>Eerste inschatting van k</w:t>
      </w:r>
      <w:r w:rsidRPr="00F50F0C" w:rsidR="00F74E07">
        <w:rPr>
          <w:rFonts w:ascii="Verdana" w:hAnsi="Verdana"/>
          <w:i/>
          <w:iCs/>
          <w:sz w:val="18"/>
          <w:szCs w:val="18"/>
        </w:rPr>
        <w:t>rachtenveld</w:t>
      </w:r>
    </w:p>
    <w:p w:rsidRPr="00605154" w:rsidR="0031232E" w:rsidP="000970FB" w:rsidRDefault="0031232E" w14:paraId="15D47FBC" w14:textId="44F0C345">
      <w:pPr>
        <w:spacing w:line="360" w:lineRule="auto"/>
        <w:jc w:val="both"/>
        <w:rPr>
          <w:rFonts w:ascii="Verdana" w:hAnsi="Verdana"/>
          <w:sz w:val="18"/>
          <w:szCs w:val="18"/>
        </w:rPr>
      </w:pPr>
      <w:r w:rsidRPr="00F50F0C">
        <w:rPr>
          <w:rFonts w:ascii="Verdana" w:hAnsi="Verdana"/>
          <w:sz w:val="18"/>
          <w:szCs w:val="18"/>
        </w:rPr>
        <w:t xml:space="preserve">Er zijn drie lidstaten met </w:t>
      </w:r>
      <w:r w:rsidRPr="00F50F0C" w:rsidR="00D45DCF">
        <w:rPr>
          <w:rFonts w:ascii="Verdana" w:hAnsi="Verdana"/>
          <w:sz w:val="18"/>
          <w:szCs w:val="18"/>
        </w:rPr>
        <w:t>LGO</w:t>
      </w:r>
      <w:r w:rsidRPr="00F50F0C">
        <w:rPr>
          <w:rFonts w:ascii="Verdana" w:hAnsi="Verdana"/>
          <w:sz w:val="18"/>
          <w:szCs w:val="18"/>
        </w:rPr>
        <w:t xml:space="preserve">: Denemarken, Frankrijk en Nederland. Dit leidt ertoe dat deze drie lidstaten tijdens de onderhandelingen in de Raad steun bij elkaar zullen moeten zoeken. De posities van de verschillende </w:t>
      </w:r>
      <w:r w:rsidRPr="00F50F0C" w:rsidR="00D45DCF">
        <w:rPr>
          <w:rFonts w:ascii="Verdana" w:hAnsi="Verdana"/>
          <w:sz w:val="18"/>
          <w:szCs w:val="18"/>
        </w:rPr>
        <w:t>LGO</w:t>
      </w:r>
      <w:r w:rsidRPr="00F50F0C">
        <w:rPr>
          <w:rFonts w:ascii="Verdana" w:hAnsi="Verdana"/>
          <w:sz w:val="18"/>
          <w:szCs w:val="18"/>
        </w:rPr>
        <w:t xml:space="preserve"> zijn hierbij ook van belang en binnen die groep heeft Groenland een bijzondere positie. Nederland zet er dan ook op in om waar mogelijk in gezamenlijkheid met enerzijds de Nederlandse </w:t>
      </w:r>
      <w:r w:rsidRPr="00F50F0C" w:rsidR="00D45DCF">
        <w:rPr>
          <w:rFonts w:ascii="Verdana" w:hAnsi="Verdana"/>
          <w:sz w:val="18"/>
          <w:szCs w:val="18"/>
        </w:rPr>
        <w:t>LGO</w:t>
      </w:r>
      <w:r w:rsidRPr="00F50F0C">
        <w:rPr>
          <w:rFonts w:ascii="Verdana" w:hAnsi="Verdana"/>
          <w:sz w:val="18"/>
          <w:szCs w:val="18"/>
        </w:rPr>
        <w:t xml:space="preserve"> en anderzijds de lidstaten Denemarken en Frankrijk tot een gedeelde lijn te komen ten aanzien van dit voorstel. Hoewel de positie van andere lidstaten op dit moment nog niet formeel bekend is, hebben met name Oost-Europese lidstaten zich in het verleden kritisch opgesteld ten opzichte van LGO-financiering.</w:t>
      </w:r>
    </w:p>
    <w:p w:rsidR="00E539A8" w:rsidP="000970FB" w:rsidRDefault="00E539A8" w14:paraId="620085B7" w14:textId="77777777">
      <w:pPr>
        <w:spacing w:line="360" w:lineRule="auto"/>
        <w:ind w:left="360"/>
        <w:jc w:val="both"/>
        <w:rPr>
          <w:rFonts w:ascii="Verdana" w:hAnsi="Verdana"/>
          <w:b/>
          <w:sz w:val="18"/>
          <w:szCs w:val="18"/>
        </w:rPr>
      </w:pPr>
    </w:p>
    <w:p w:rsidRPr="00605154" w:rsidR="00A15B58" w:rsidP="000970FB" w:rsidRDefault="00A15B58" w14:paraId="4916B704" w14:textId="77777777">
      <w:pPr>
        <w:numPr>
          <w:ilvl w:val="0"/>
          <w:numId w:val="3"/>
        </w:numPr>
        <w:spacing w:line="360" w:lineRule="auto"/>
        <w:jc w:val="both"/>
        <w:rPr>
          <w:rFonts w:ascii="Verdana" w:hAnsi="Verdana"/>
          <w:i/>
          <w:iCs/>
          <w:sz w:val="18"/>
          <w:szCs w:val="18"/>
        </w:rPr>
      </w:pPr>
      <w:r w:rsidRPr="00F50F0C">
        <w:rPr>
          <w:rFonts w:ascii="Verdana" w:hAnsi="Verdana"/>
          <w:b/>
          <w:bCs/>
          <w:sz w:val="18"/>
          <w:szCs w:val="18"/>
        </w:rPr>
        <w:t xml:space="preserve">Beoordeling bevoegdheid, subsidiariteit en proportionaliteit </w:t>
      </w:r>
    </w:p>
    <w:p w:rsidRPr="00605154" w:rsidR="00A15B58" w:rsidP="000970FB" w:rsidRDefault="00076EDE" w14:paraId="0777DFC3" w14:textId="77777777">
      <w:pPr>
        <w:pStyle w:val="Spreekpunten"/>
        <w:numPr>
          <w:ilvl w:val="0"/>
          <w:numId w:val="7"/>
        </w:numPr>
        <w:jc w:val="both"/>
        <w:rPr>
          <w:rFonts w:ascii="Verdana" w:hAnsi="Verdana"/>
          <w:i/>
          <w:iCs/>
          <w:sz w:val="18"/>
          <w:szCs w:val="18"/>
          <w:lang w:val="nl-NL" w:eastAsia="zh-CN"/>
        </w:rPr>
      </w:pPr>
      <w:r w:rsidRPr="6C090062">
        <w:rPr>
          <w:rFonts w:ascii="Verdana" w:hAnsi="Verdana"/>
          <w:i/>
          <w:iCs/>
          <w:sz w:val="18"/>
          <w:szCs w:val="18"/>
          <w:lang w:val="nl-NL" w:eastAsia="zh-CN"/>
        </w:rPr>
        <w:t>B</w:t>
      </w:r>
      <w:r w:rsidRPr="6C090062" w:rsidR="00A15B58">
        <w:rPr>
          <w:rFonts w:ascii="Verdana" w:hAnsi="Verdana"/>
          <w:i/>
          <w:iCs/>
          <w:sz w:val="18"/>
          <w:szCs w:val="18"/>
          <w:lang w:val="nl-NL" w:eastAsia="zh-CN"/>
        </w:rPr>
        <w:t>evoegdheid</w:t>
      </w:r>
    </w:p>
    <w:p w:rsidRPr="00605154" w:rsidR="00500B93" w:rsidP="000970FB" w:rsidRDefault="001F7116" w14:paraId="69549D9C" w14:textId="1D1BFCF8">
      <w:pPr>
        <w:pStyle w:val="Basis"/>
        <w:spacing w:line="360" w:lineRule="auto"/>
        <w:jc w:val="both"/>
        <w:rPr>
          <w:rFonts w:ascii="Verdana" w:hAnsi="Verdana"/>
          <w:kern w:val="0"/>
          <w:lang w:eastAsia="zh-CN"/>
        </w:rPr>
      </w:pPr>
      <w:r w:rsidRPr="00F50F0C">
        <w:rPr>
          <w:rFonts w:ascii="Verdana" w:hAnsi="Verdana"/>
        </w:rPr>
        <w:t>Als onderdeel van de toets of de EU mag optreden conform de EU-verdragen toetst het kabinet of de EU handelt binnen de grenzen van de bevoegdheden die haar door de lidstaten in de EU-verdragen zijn toegedeeld om de daarin bepaalde doelstellingen te verwezenlijken.</w:t>
      </w:r>
      <w:r w:rsidR="006D6D21">
        <w:rPr>
          <w:rFonts w:ascii="Verdana" w:hAnsi="Verdana"/>
        </w:rPr>
        <w:t xml:space="preserve"> </w:t>
      </w:r>
      <w:r w:rsidRPr="00605154" w:rsidR="006D6D21">
        <w:rPr>
          <w:rFonts w:ascii="Verdana" w:hAnsi="Verdana"/>
          <w:szCs w:val="18"/>
        </w:rPr>
        <w:t xml:space="preserve">Het oordeel van het kabinet ten aanzien van de bevoegdheid is </w:t>
      </w:r>
      <w:r w:rsidR="001D6ACB">
        <w:rPr>
          <w:rFonts w:ascii="Verdana" w:hAnsi="Verdana"/>
          <w:szCs w:val="18"/>
        </w:rPr>
        <w:t>positief</w:t>
      </w:r>
      <w:r w:rsidR="0013413E">
        <w:rPr>
          <w:rFonts w:ascii="Verdana" w:hAnsi="Verdana"/>
          <w:szCs w:val="18"/>
        </w:rPr>
        <w:t>.</w:t>
      </w:r>
      <w:r w:rsidRPr="00F50F0C">
        <w:rPr>
          <w:rFonts w:ascii="Verdana" w:hAnsi="Verdana"/>
        </w:rPr>
        <w:t xml:space="preserve"> Het voorstel is gebaseerd op art. 203 VWEU. </w:t>
      </w:r>
      <w:r w:rsidRPr="00F50F0C" w:rsidR="003A2FD8">
        <w:rPr>
          <w:rFonts w:ascii="Verdana" w:hAnsi="Verdana"/>
        </w:rPr>
        <w:t xml:space="preserve">Art. 203 VWEU geeft de </w:t>
      </w:r>
      <w:r w:rsidR="003B46F3">
        <w:rPr>
          <w:rFonts w:ascii="Verdana" w:hAnsi="Verdana"/>
        </w:rPr>
        <w:t>Raad</w:t>
      </w:r>
      <w:r w:rsidRPr="00F50F0C" w:rsidR="003B46F3">
        <w:rPr>
          <w:rFonts w:ascii="Verdana" w:hAnsi="Verdana"/>
        </w:rPr>
        <w:t xml:space="preserve"> </w:t>
      </w:r>
      <w:r w:rsidRPr="00F50F0C" w:rsidR="003A2FD8">
        <w:rPr>
          <w:rFonts w:ascii="Verdana" w:hAnsi="Verdana"/>
        </w:rPr>
        <w:t xml:space="preserve">de bevoegdheid tot het vaststellen van de bepalingen </w:t>
      </w:r>
      <w:r w:rsidR="003B46F3">
        <w:rPr>
          <w:rFonts w:ascii="Verdana" w:hAnsi="Verdana"/>
        </w:rPr>
        <w:t>betreffende</w:t>
      </w:r>
      <w:r w:rsidRPr="00F50F0C" w:rsidR="003B46F3">
        <w:rPr>
          <w:rFonts w:ascii="Verdana" w:hAnsi="Verdana"/>
        </w:rPr>
        <w:t xml:space="preserve"> </w:t>
      </w:r>
      <w:r w:rsidRPr="00F50F0C" w:rsidR="003A2FD8">
        <w:rPr>
          <w:rFonts w:ascii="Verdana" w:hAnsi="Verdana"/>
        </w:rPr>
        <w:t xml:space="preserve">de wijze </w:t>
      </w:r>
      <w:r w:rsidR="003B46F3">
        <w:rPr>
          <w:rFonts w:ascii="Verdana" w:hAnsi="Verdana"/>
        </w:rPr>
        <w:t xml:space="preserve">van toepassing </w:t>
      </w:r>
      <w:r w:rsidRPr="00F50F0C" w:rsidR="003A2FD8">
        <w:rPr>
          <w:rFonts w:ascii="Verdana" w:hAnsi="Verdana"/>
        </w:rPr>
        <w:t>en procedures van de associatie van de EU met de landen en gebieden overzee. Het kabinet kan zich vinden in deze rechtsgrondslag.</w:t>
      </w:r>
    </w:p>
    <w:p w:rsidRPr="0031232E" w:rsidR="0031232E" w:rsidP="000970FB" w:rsidRDefault="0031232E" w14:paraId="55AE5D21" w14:textId="4E9B5DE4">
      <w:pPr>
        <w:pStyle w:val="Spreekpunten"/>
        <w:numPr>
          <w:ilvl w:val="0"/>
          <w:numId w:val="0"/>
        </w:numPr>
        <w:jc w:val="both"/>
        <w:rPr>
          <w:rFonts w:ascii="Verdana" w:hAnsi="Verdana"/>
          <w:sz w:val="18"/>
          <w:szCs w:val="18"/>
          <w:lang w:val="nl-NL" w:eastAsia="zh-CN"/>
        </w:rPr>
      </w:pPr>
    </w:p>
    <w:p w:rsidRPr="00605154" w:rsidR="00A15B58" w:rsidP="000970FB" w:rsidRDefault="00076EDE" w14:paraId="1CCFDE02" w14:textId="77777777">
      <w:pPr>
        <w:pStyle w:val="Spreekpunten"/>
        <w:numPr>
          <w:ilvl w:val="0"/>
          <w:numId w:val="7"/>
        </w:numPr>
        <w:jc w:val="both"/>
        <w:rPr>
          <w:rFonts w:ascii="Verdana" w:hAnsi="Verdana"/>
          <w:i/>
          <w:iCs/>
          <w:sz w:val="18"/>
          <w:szCs w:val="18"/>
          <w:lang w:val="nl-NL" w:eastAsia="zh-CN"/>
        </w:rPr>
      </w:pPr>
      <w:r w:rsidRPr="6C090062">
        <w:rPr>
          <w:rFonts w:ascii="Verdana" w:hAnsi="Verdana"/>
          <w:i/>
          <w:iCs/>
          <w:sz w:val="18"/>
          <w:szCs w:val="18"/>
          <w:lang w:val="nl-NL" w:eastAsia="zh-CN"/>
        </w:rPr>
        <w:t>S</w:t>
      </w:r>
      <w:r w:rsidRPr="6C090062" w:rsidR="00A15B58">
        <w:rPr>
          <w:rFonts w:ascii="Verdana" w:hAnsi="Verdana"/>
          <w:i/>
          <w:iCs/>
          <w:sz w:val="18"/>
          <w:szCs w:val="18"/>
          <w:lang w:val="nl-NL" w:eastAsia="zh-CN"/>
        </w:rPr>
        <w:t>ubsidiariteit</w:t>
      </w:r>
    </w:p>
    <w:p w:rsidRPr="00605154" w:rsidR="00E138A5" w:rsidP="000970FB" w:rsidRDefault="001F7116" w14:paraId="2B8733ED" w14:textId="0C653923">
      <w:pPr>
        <w:pStyle w:val="Basis"/>
        <w:spacing w:line="360" w:lineRule="auto"/>
        <w:jc w:val="both"/>
        <w:rPr>
          <w:rFonts w:ascii="Verdana" w:hAnsi="Verdana"/>
          <w:lang w:eastAsia="zh-CN"/>
        </w:rPr>
      </w:pPr>
      <w:r w:rsidRPr="00F50F0C">
        <w:rPr>
          <w:rFonts w:ascii="Verdana" w:hAnsi="Verdana"/>
        </w:rPr>
        <w:t xml:space="preserve">Als onderdeel van de toets of de EU mag optreden conform de EU-verdragen </w:t>
      </w:r>
      <w:r w:rsidRPr="00F50F0C">
        <w:rPr>
          <w:rFonts w:ascii="Verdana" w:hAnsi="Verdana"/>
          <w:lang w:eastAsia="zh-CN"/>
        </w:rPr>
        <w:t xml:space="preserve">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w:t>
      </w:r>
      <w:r w:rsidRPr="00F50F0C" w:rsidR="00353FA7">
        <w:rPr>
          <w:rFonts w:ascii="Verdana" w:hAnsi="Verdana"/>
          <w:lang w:eastAsia="zh-CN"/>
        </w:rPr>
        <w:t xml:space="preserve">Het voorgestelde besluit heeft tot doel </w:t>
      </w:r>
      <w:r w:rsidRPr="00F50F0C" w:rsidR="00353FA7">
        <w:rPr>
          <w:rFonts w:ascii="Verdana" w:hAnsi="Verdana"/>
        </w:rPr>
        <w:t xml:space="preserve">het bevorderen van de economische en sociale ontwikkeling van de LGO en de totstandbrenging van nauwe economische betrekkingen tussen de LGO en de EU. Het </w:t>
      </w:r>
      <w:proofErr w:type="spellStart"/>
      <w:r w:rsidRPr="00F50F0C" w:rsidR="00353FA7">
        <w:rPr>
          <w:rFonts w:ascii="Verdana" w:hAnsi="Verdana"/>
        </w:rPr>
        <w:t>totstandkomen</w:t>
      </w:r>
      <w:proofErr w:type="spellEnd"/>
      <w:r w:rsidRPr="00F50F0C" w:rsidR="00353FA7">
        <w:rPr>
          <w:rFonts w:ascii="Verdana" w:hAnsi="Verdana"/>
        </w:rPr>
        <w:t xml:space="preserve"> van nauwe economische betrekkingen tussen de LGO en de EU kan per definitie niet op lidstaatniveau bereikt worden. Om die reden is optreden op het niveau van de EU gerechtvaardigd.  </w:t>
      </w:r>
    </w:p>
    <w:p w:rsidRPr="0031232E" w:rsidR="0031232E" w:rsidP="000970FB" w:rsidRDefault="0031232E" w14:paraId="13C29F6A" w14:textId="77777777">
      <w:pPr>
        <w:pStyle w:val="Spreekpunten"/>
        <w:numPr>
          <w:ilvl w:val="0"/>
          <w:numId w:val="0"/>
        </w:numPr>
        <w:ind w:left="360"/>
        <w:jc w:val="both"/>
        <w:rPr>
          <w:rFonts w:ascii="Verdana" w:hAnsi="Verdana"/>
          <w:sz w:val="18"/>
          <w:szCs w:val="18"/>
          <w:lang w:val="nl-NL" w:eastAsia="zh-CN"/>
        </w:rPr>
      </w:pPr>
    </w:p>
    <w:p w:rsidRPr="00605154" w:rsidR="00A15B58" w:rsidP="000970FB" w:rsidRDefault="00076EDE" w14:paraId="6D84C5F8" w14:textId="77777777">
      <w:pPr>
        <w:pStyle w:val="Spreekpunten"/>
        <w:numPr>
          <w:ilvl w:val="0"/>
          <w:numId w:val="7"/>
        </w:numPr>
        <w:jc w:val="both"/>
        <w:rPr>
          <w:rFonts w:ascii="Verdana" w:hAnsi="Verdana"/>
          <w:i/>
          <w:iCs/>
          <w:sz w:val="18"/>
          <w:szCs w:val="18"/>
          <w:lang w:val="nl-NL" w:eastAsia="zh-CN"/>
        </w:rPr>
      </w:pPr>
      <w:r w:rsidRPr="6C090062">
        <w:rPr>
          <w:rFonts w:ascii="Verdana" w:hAnsi="Verdana"/>
          <w:i/>
          <w:iCs/>
          <w:sz w:val="18"/>
          <w:szCs w:val="18"/>
          <w:lang w:val="nl-NL" w:eastAsia="zh-CN"/>
        </w:rPr>
        <w:t>P</w:t>
      </w:r>
      <w:r w:rsidRPr="6C090062" w:rsidR="00A15B58">
        <w:rPr>
          <w:rFonts w:ascii="Verdana" w:hAnsi="Verdana"/>
          <w:i/>
          <w:iCs/>
          <w:sz w:val="18"/>
          <w:szCs w:val="18"/>
          <w:lang w:val="nl-NL" w:eastAsia="zh-CN"/>
        </w:rPr>
        <w:t>roportionaliteit</w:t>
      </w:r>
    </w:p>
    <w:p w:rsidRPr="00C7444C" w:rsidR="00500B93" w:rsidP="000970FB" w:rsidRDefault="00861C99" w14:paraId="6B145123" w14:textId="492A4C65">
      <w:pPr>
        <w:pStyle w:val="Spreekpunten"/>
        <w:numPr>
          <w:ilvl w:val="0"/>
          <w:numId w:val="0"/>
        </w:numPr>
        <w:jc w:val="both"/>
        <w:rPr>
          <w:rFonts w:ascii="Verdana" w:hAnsi="Verdana"/>
          <w:sz w:val="18"/>
          <w:szCs w:val="18"/>
          <w:lang w:val="nl-NL" w:eastAsia="zh-CN"/>
        </w:rPr>
      </w:pPr>
      <w:r w:rsidRPr="00C7444C">
        <w:rPr>
          <w:rFonts w:ascii="Verdana" w:hAnsi="Verdana"/>
          <w:sz w:val="18"/>
          <w:szCs w:val="18"/>
          <w:lang w:val="nl-NL"/>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Het LGO-besluit heeft tot doel het bevorderen van de economische en sociale ontwikkeling van de LGO en de totstandbrenging van nauwe economische betrekkingen tussen de LGO en de EU. Het voorgestelde optreden is geschikt om deze doelstelling te bereiken, omdat het uitgaat van een flexibele </w:t>
      </w:r>
      <w:r w:rsidR="001D6ACB">
        <w:rPr>
          <w:rFonts w:ascii="Verdana" w:hAnsi="Verdana"/>
          <w:sz w:val="18"/>
          <w:szCs w:val="18"/>
          <w:lang w:val="nl-NL"/>
        </w:rPr>
        <w:t xml:space="preserve">en brede aanpak (o.a. op </w:t>
      </w:r>
      <w:r w:rsidR="001D6ACB">
        <w:rPr>
          <w:rFonts w:ascii="Verdana" w:hAnsi="Verdana"/>
          <w:sz w:val="18"/>
          <w:szCs w:val="18"/>
          <w:lang w:val="nl-NL"/>
        </w:rPr>
        <w:lastRenderedPageBreak/>
        <w:t>klimaat, educatie, voedselzekerheid en digitale connectiviteit)</w:t>
      </w:r>
      <w:r w:rsidRPr="00C7444C">
        <w:rPr>
          <w:rFonts w:ascii="Verdana" w:hAnsi="Verdana"/>
          <w:sz w:val="18"/>
          <w:szCs w:val="18"/>
          <w:lang w:val="nl-NL"/>
        </w:rPr>
        <w:t xml:space="preserve"> die op de situatie van elke LGO kan worden afgestemd. </w:t>
      </w:r>
      <w:r w:rsidR="001D6ACB">
        <w:rPr>
          <w:rFonts w:ascii="Verdana" w:hAnsi="Verdana"/>
          <w:sz w:val="18"/>
          <w:szCs w:val="18"/>
          <w:lang w:val="nl-NL"/>
        </w:rPr>
        <w:t xml:space="preserve">Dit maatwerk bij de financiering van projecten vergroot de kans op het daadwerkelijk bevorderen van de economische en sociale ontwikkeling van de LGO en het versterken van de economische betrekkingen tussen de LGO en de EU. </w:t>
      </w:r>
      <w:r w:rsidR="00353FA7">
        <w:rPr>
          <w:rFonts w:ascii="Verdana" w:hAnsi="Verdana"/>
          <w:sz w:val="18"/>
          <w:szCs w:val="18"/>
          <w:lang w:val="nl-NL"/>
        </w:rPr>
        <w:t xml:space="preserve">Bovendien gaat het voorgestelde optreden niet verder dan noodzakelijk, omdat </w:t>
      </w:r>
      <w:r w:rsidR="00CC533E">
        <w:rPr>
          <w:rFonts w:ascii="Verdana" w:hAnsi="Verdana"/>
          <w:sz w:val="18"/>
          <w:szCs w:val="18"/>
          <w:lang w:val="nl-NL"/>
        </w:rPr>
        <w:t xml:space="preserve">de acties zich </w:t>
      </w:r>
      <w:r w:rsidR="00FC694A">
        <w:rPr>
          <w:rFonts w:ascii="Verdana" w:hAnsi="Verdana"/>
          <w:sz w:val="18"/>
          <w:szCs w:val="18"/>
          <w:lang w:val="nl-NL"/>
        </w:rPr>
        <w:t xml:space="preserve">uitsluitend </w:t>
      </w:r>
      <w:r w:rsidR="00CC533E">
        <w:rPr>
          <w:rFonts w:ascii="Verdana" w:hAnsi="Verdana"/>
          <w:sz w:val="18"/>
          <w:szCs w:val="18"/>
          <w:lang w:val="nl-NL"/>
        </w:rPr>
        <w:t xml:space="preserve">richten op betrekkingen tussen de LGO en de EU waarbij de flexibele aanpak ervoor zorgt dat </w:t>
      </w:r>
      <w:r w:rsidR="00FD491D">
        <w:rPr>
          <w:rFonts w:ascii="Verdana" w:hAnsi="Verdana"/>
          <w:sz w:val="18"/>
          <w:szCs w:val="18"/>
          <w:lang w:val="nl-NL"/>
        </w:rPr>
        <w:t>lidstaten genoeg beleidsruimte behouden voor hun eigen relaties met de LGO</w:t>
      </w:r>
      <w:r w:rsidR="0061622D">
        <w:rPr>
          <w:rFonts w:ascii="Verdana" w:hAnsi="Verdana"/>
          <w:sz w:val="18"/>
          <w:szCs w:val="18"/>
          <w:lang w:val="nl-NL"/>
        </w:rPr>
        <w:t>.</w:t>
      </w:r>
    </w:p>
    <w:p w:rsidRPr="00DA19A2" w:rsidR="00A15B58" w:rsidP="000970FB" w:rsidRDefault="00A15B58" w14:paraId="19ABB3BB" w14:textId="77777777">
      <w:pPr>
        <w:spacing w:line="360" w:lineRule="auto"/>
        <w:jc w:val="both"/>
        <w:rPr>
          <w:rFonts w:ascii="Verdana" w:hAnsi="Verdana"/>
          <w:b/>
          <w:sz w:val="18"/>
          <w:szCs w:val="18"/>
        </w:rPr>
      </w:pPr>
    </w:p>
    <w:p w:rsidRPr="00605154" w:rsidR="00CB7FF8" w:rsidP="001D7BAF" w:rsidRDefault="00CB7FF8" w14:paraId="6B1AD17E" w14:textId="77777777">
      <w:pPr>
        <w:numPr>
          <w:ilvl w:val="0"/>
          <w:numId w:val="3"/>
        </w:numPr>
        <w:spacing w:line="360" w:lineRule="auto"/>
        <w:rPr>
          <w:rFonts w:ascii="Verdana" w:hAnsi="Verdana"/>
          <w:b/>
          <w:bCs/>
          <w:sz w:val="18"/>
          <w:szCs w:val="18"/>
        </w:rPr>
      </w:pPr>
      <w:r w:rsidRPr="00F50F0C">
        <w:rPr>
          <w:rFonts w:ascii="Verdana" w:hAnsi="Verdana"/>
          <w:b/>
          <w:bCs/>
          <w:sz w:val="18"/>
          <w:szCs w:val="18"/>
        </w:rPr>
        <w:t xml:space="preserve">Financiële </w:t>
      </w:r>
      <w:r w:rsidRPr="00F50F0C" w:rsidR="00313255">
        <w:rPr>
          <w:rFonts w:ascii="Verdana" w:hAnsi="Verdana"/>
          <w:b/>
          <w:bCs/>
          <w:sz w:val="18"/>
          <w:szCs w:val="18"/>
        </w:rPr>
        <w:t>consequenties</w:t>
      </w:r>
      <w:r w:rsidRPr="00F50F0C">
        <w:rPr>
          <w:rFonts w:ascii="Verdana" w:hAnsi="Verdana"/>
          <w:b/>
          <w:bCs/>
          <w:sz w:val="18"/>
          <w:szCs w:val="18"/>
        </w:rPr>
        <w:t>, gevolgen voor regeldruk</w:t>
      </w:r>
      <w:r w:rsidRPr="00F50F0C" w:rsidR="000A39A4">
        <w:rPr>
          <w:rFonts w:ascii="Verdana" w:hAnsi="Verdana"/>
          <w:b/>
          <w:bCs/>
          <w:sz w:val="18"/>
          <w:szCs w:val="18"/>
        </w:rPr>
        <w:t>, concurrentiekracht en geopolitieke aspecten</w:t>
      </w:r>
      <w:r w:rsidRPr="00F50F0C">
        <w:rPr>
          <w:rFonts w:ascii="Verdana" w:hAnsi="Verdana"/>
          <w:b/>
          <w:bCs/>
          <w:sz w:val="18"/>
          <w:szCs w:val="18"/>
        </w:rPr>
        <w:t xml:space="preserve"> </w:t>
      </w:r>
    </w:p>
    <w:p w:rsidRPr="00605154" w:rsidR="00CB7FF8" w:rsidP="000970FB" w:rsidRDefault="00CB7FF8" w14:paraId="7EE3B054" w14:textId="77777777">
      <w:pPr>
        <w:numPr>
          <w:ilvl w:val="0"/>
          <w:numId w:val="8"/>
        </w:numPr>
        <w:spacing w:line="360" w:lineRule="auto"/>
        <w:jc w:val="both"/>
        <w:outlineLvl w:val="0"/>
        <w:rPr>
          <w:rFonts w:ascii="Verdana" w:hAnsi="Verdana"/>
          <w:i/>
          <w:iCs/>
          <w:sz w:val="18"/>
          <w:szCs w:val="18"/>
        </w:rPr>
      </w:pPr>
      <w:r w:rsidRPr="00F50F0C">
        <w:rPr>
          <w:rFonts w:ascii="Verdana" w:hAnsi="Verdana"/>
          <w:i/>
          <w:iCs/>
          <w:sz w:val="18"/>
          <w:szCs w:val="18"/>
        </w:rPr>
        <w:t>Consequenties EU-begroting</w:t>
      </w:r>
    </w:p>
    <w:p w:rsidRPr="00605154" w:rsidR="007368B8" w:rsidP="000970FB" w:rsidRDefault="007368B8" w14:paraId="7D1F3D0F" w14:textId="1C646733">
      <w:pPr>
        <w:pStyle w:val="Basis"/>
        <w:spacing w:line="360" w:lineRule="auto"/>
        <w:jc w:val="both"/>
        <w:rPr>
          <w:rFonts w:ascii="Verdana" w:hAnsi="Verdana"/>
          <w:kern w:val="0"/>
          <w:lang w:eastAsia="zh-CN"/>
        </w:rPr>
      </w:pPr>
      <w:r w:rsidRPr="00F50F0C">
        <w:rPr>
          <w:rFonts w:ascii="Verdana" w:hAnsi="Verdana"/>
          <w:kern w:val="0"/>
          <w:lang w:eastAsia="zh-CN"/>
        </w:rPr>
        <w:t>De onderhandelingen over de toekomst van het ECF zijn wat betreft de financiële aspecten, integraal onderdeel van de onderhandelingen over het MFK 2028-2034. Het kabinet hecht eraan dat besprekingen over dit voorstel niet vooruitlopen op de integrale besluitvorming betreffende de budgettaire omvang van het MFK. De beleidsmatige inzet van het kabinet bij het ECF moet ondersteunend zijn aan de overkoepelende kabinetsinzet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p>
    <w:p w:rsidR="00500B93" w:rsidP="000970FB" w:rsidRDefault="00500B93" w14:paraId="16E1142E" w14:textId="77777777">
      <w:pPr>
        <w:pStyle w:val="Basis"/>
        <w:spacing w:line="360" w:lineRule="auto"/>
        <w:jc w:val="both"/>
        <w:rPr>
          <w:rFonts w:ascii="Verdana" w:hAnsi="Verdana"/>
          <w:bCs/>
          <w:kern w:val="0"/>
          <w:szCs w:val="18"/>
          <w:lang w:eastAsia="zh-CN"/>
        </w:rPr>
      </w:pPr>
    </w:p>
    <w:p w:rsidRPr="00605154" w:rsidR="00C135F2" w:rsidP="000970FB" w:rsidRDefault="00C135F2" w14:paraId="7AD482DC" w14:textId="533521DE">
      <w:pPr>
        <w:pStyle w:val="Basis"/>
        <w:spacing w:line="360" w:lineRule="auto"/>
        <w:jc w:val="both"/>
        <w:rPr>
          <w:rFonts w:ascii="Verdana" w:hAnsi="Verdana"/>
          <w:kern w:val="0"/>
          <w:lang w:eastAsia="zh-CN"/>
        </w:rPr>
      </w:pPr>
      <w:r w:rsidRPr="00F50F0C">
        <w:rPr>
          <w:rFonts w:ascii="Verdana" w:hAnsi="Verdana"/>
          <w:kern w:val="0"/>
          <w:lang w:eastAsia="zh-CN"/>
        </w:rPr>
        <w:t xml:space="preserve">Onder het nieuwe MFK wordt EUR 999 miljoen (lopende prijzen) gereserveerd voor het aangepaste LGO-besluit. </w:t>
      </w:r>
      <w:r w:rsidRPr="00F50F0C" w:rsidR="006F0E63">
        <w:rPr>
          <w:rFonts w:ascii="Verdana" w:hAnsi="Verdana"/>
          <w:kern w:val="0"/>
          <w:lang w:eastAsia="zh-CN"/>
        </w:rPr>
        <w:t xml:space="preserve">Hiervan is EUR 425 miljoen beschikbaar voor de Nederlandse en Franse LGO. </w:t>
      </w:r>
      <w:r w:rsidRPr="00F50F0C">
        <w:rPr>
          <w:rFonts w:ascii="Verdana" w:hAnsi="Verdana"/>
          <w:kern w:val="0"/>
          <w:lang w:eastAsia="zh-CN"/>
        </w:rPr>
        <w:t>Ten opzichte van de huidige periode (2021–2027) stelt de Commissie een nominale stijging van 100% voor. Deze middelen komen uit begrotingshoofdstuk 6: «</w:t>
      </w:r>
      <w:proofErr w:type="spellStart"/>
      <w:r w:rsidRPr="00F50F0C">
        <w:rPr>
          <w:rFonts w:ascii="Verdana" w:hAnsi="Verdana"/>
          <w:kern w:val="0"/>
          <w:lang w:eastAsia="zh-CN"/>
        </w:rPr>
        <w:t>Neighbourhood</w:t>
      </w:r>
      <w:proofErr w:type="spellEnd"/>
      <w:r w:rsidRPr="00F50F0C">
        <w:rPr>
          <w:rFonts w:ascii="Verdana" w:hAnsi="Verdana"/>
          <w:kern w:val="0"/>
          <w:lang w:eastAsia="zh-CN"/>
        </w:rPr>
        <w:t xml:space="preserve"> and the World». Daarmee wordt het instrument voor de </w:t>
      </w:r>
      <w:proofErr w:type="spellStart"/>
      <w:r w:rsidRPr="00F50F0C">
        <w:rPr>
          <w:rFonts w:ascii="Verdana" w:hAnsi="Verdana"/>
          <w:kern w:val="0"/>
          <w:lang w:eastAsia="zh-CN"/>
        </w:rPr>
        <w:t>LGO’s</w:t>
      </w:r>
      <w:proofErr w:type="spellEnd"/>
      <w:r w:rsidRPr="00F50F0C">
        <w:rPr>
          <w:rFonts w:ascii="Verdana" w:hAnsi="Verdana"/>
          <w:kern w:val="0"/>
          <w:lang w:eastAsia="zh-CN"/>
        </w:rPr>
        <w:t xml:space="preserve"> binnen de begroting geplaatst.</w:t>
      </w:r>
    </w:p>
    <w:p w:rsidRPr="00ED491C" w:rsidR="00ED491C" w:rsidP="000970FB" w:rsidRDefault="00ED491C" w14:paraId="21993411" w14:textId="77777777">
      <w:pPr>
        <w:spacing w:line="360" w:lineRule="auto"/>
        <w:jc w:val="both"/>
        <w:outlineLvl w:val="0"/>
        <w:rPr>
          <w:rFonts w:ascii="Verdana" w:hAnsi="Verdana"/>
          <w:bCs/>
          <w:sz w:val="18"/>
          <w:szCs w:val="18"/>
        </w:rPr>
      </w:pPr>
    </w:p>
    <w:p w:rsidRPr="00605154" w:rsidR="00CB7FF8" w:rsidP="000970FB" w:rsidRDefault="00CB7FF8" w14:paraId="7FF07388" w14:textId="77777777">
      <w:pPr>
        <w:numPr>
          <w:ilvl w:val="0"/>
          <w:numId w:val="8"/>
        </w:numPr>
        <w:spacing w:line="360" w:lineRule="auto"/>
        <w:jc w:val="both"/>
        <w:outlineLvl w:val="0"/>
        <w:rPr>
          <w:rFonts w:ascii="Verdana" w:hAnsi="Verdana"/>
          <w:i/>
          <w:iCs/>
          <w:sz w:val="18"/>
          <w:szCs w:val="18"/>
        </w:rPr>
      </w:pPr>
      <w:r w:rsidRPr="00F50F0C">
        <w:rPr>
          <w:rFonts w:ascii="Verdana" w:hAnsi="Verdana"/>
          <w:i/>
          <w:iCs/>
          <w:sz w:val="18"/>
          <w:szCs w:val="18"/>
        </w:rPr>
        <w:t>Financiële consequenties (incl. personele)</w:t>
      </w:r>
      <w:r w:rsidRPr="00F50F0C" w:rsidR="000A39A4">
        <w:rPr>
          <w:rFonts w:ascii="Verdana" w:hAnsi="Verdana"/>
          <w:i/>
          <w:iCs/>
          <w:sz w:val="18"/>
          <w:szCs w:val="18"/>
        </w:rPr>
        <w:t xml:space="preserve"> </w:t>
      </w:r>
      <w:r w:rsidRPr="00F50F0C">
        <w:rPr>
          <w:rFonts w:ascii="Verdana" w:hAnsi="Verdana"/>
          <w:i/>
          <w:iCs/>
          <w:sz w:val="18"/>
          <w:szCs w:val="18"/>
        </w:rPr>
        <w:t xml:space="preserve">voor rijksoverheid en/ of </w:t>
      </w:r>
      <w:r w:rsidRPr="00F50F0C" w:rsidR="002F38E5">
        <w:rPr>
          <w:rFonts w:ascii="Verdana" w:hAnsi="Verdana"/>
          <w:i/>
          <w:iCs/>
          <w:sz w:val="18"/>
          <w:szCs w:val="18"/>
        </w:rPr>
        <w:t>mede</w:t>
      </w:r>
      <w:r w:rsidRPr="00F50F0C">
        <w:rPr>
          <w:rFonts w:ascii="Verdana" w:hAnsi="Verdana"/>
          <w:i/>
          <w:iCs/>
          <w:sz w:val="18"/>
          <w:szCs w:val="18"/>
        </w:rPr>
        <w:t>overheden</w:t>
      </w:r>
    </w:p>
    <w:p w:rsidRPr="00605154" w:rsidR="00C135F2" w:rsidP="000970FB" w:rsidRDefault="006F0E63" w14:paraId="706D7F76" w14:textId="71B475D1">
      <w:pPr>
        <w:spacing w:line="360" w:lineRule="auto"/>
        <w:jc w:val="both"/>
        <w:outlineLvl w:val="0"/>
        <w:rPr>
          <w:rFonts w:ascii="Verdana" w:hAnsi="Verdana"/>
          <w:sz w:val="18"/>
          <w:szCs w:val="18"/>
        </w:rPr>
      </w:pPr>
      <w:r w:rsidRPr="00F50F0C">
        <w:rPr>
          <w:rFonts w:ascii="Verdana" w:hAnsi="Verdana"/>
          <w:sz w:val="18"/>
          <w:szCs w:val="18"/>
        </w:rPr>
        <w:t xml:space="preserve">Van de beschikbare middelen komt EUR 425 miljoen (lopende prijzen) rechtstreeks ten goede aan de Franse en Nederlandse LGO. De projectvoorstellen worden, na honorering, volledig gefinancierd vanuit de Europese Unie. </w:t>
      </w:r>
      <w:r w:rsidRPr="001660F5" w:rsidR="001660F5">
        <w:rPr>
          <w:rFonts w:ascii="Verdana" w:hAnsi="Verdana"/>
          <w:sz w:val="18"/>
          <w:szCs w:val="18"/>
        </w:rPr>
        <w:t>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w:t>
      </w:r>
    </w:p>
    <w:p w:rsidRPr="00C135F2" w:rsidR="007C2240" w:rsidP="000970FB" w:rsidRDefault="007C2240" w14:paraId="42628308" w14:textId="77777777">
      <w:pPr>
        <w:spacing w:line="360" w:lineRule="auto"/>
        <w:jc w:val="both"/>
        <w:outlineLvl w:val="0"/>
        <w:rPr>
          <w:rFonts w:ascii="Verdana" w:hAnsi="Verdana"/>
          <w:bCs/>
          <w:sz w:val="18"/>
          <w:szCs w:val="18"/>
        </w:rPr>
      </w:pPr>
    </w:p>
    <w:p w:rsidRPr="00605154" w:rsidR="00CB7FF8" w:rsidP="000970FB" w:rsidRDefault="00CB7FF8" w14:paraId="468D33B3" w14:textId="77777777">
      <w:pPr>
        <w:numPr>
          <w:ilvl w:val="0"/>
          <w:numId w:val="8"/>
        </w:numPr>
        <w:spacing w:line="360" w:lineRule="auto"/>
        <w:jc w:val="both"/>
        <w:rPr>
          <w:rFonts w:ascii="Verdana" w:hAnsi="Verdana"/>
          <w:i/>
          <w:iCs/>
          <w:sz w:val="18"/>
          <w:szCs w:val="18"/>
        </w:rPr>
      </w:pPr>
      <w:r w:rsidRPr="00F50F0C">
        <w:rPr>
          <w:rFonts w:ascii="Verdana" w:hAnsi="Verdana"/>
          <w:i/>
          <w:iCs/>
          <w:sz w:val="18"/>
          <w:szCs w:val="18"/>
        </w:rPr>
        <w:t xml:space="preserve">Financiële consequenties </w:t>
      </w:r>
      <w:r w:rsidRPr="00F50F0C" w:rsidR="000A39A4">
        <w:rPr>
          <w:rFonts w:ascii="Verdana" w:hAnsi="Verdana"/>
          <w:i/>
          <w:iCs/>
          <w:sz w:val="18"/>
          <w:szCs w:val="18"/>
        </w:rPr>
        <w:t xml:space="preserve"> en gevolgen voor regeldruk</w:t>
      </w:r>
      <w:r w:rsidRPr="00F50F0C">
        <w:rPr>
          <w:rFonts w:ascii="Verdana" w:hAnsi="Verdana"/>
          <w:i/>
          <w:iCs/>
          <w:sz w:val="18"/>
          <w:szCs w:val="18"/>
        </w:rPr>
        <w:t xml:space="preserve"> voor bedrijfsleven en burger</w:t>
      </w:r>
    </w:p>
    <w:p w:rsidRPr="00605154" w:rsidR="00C135F2" w:rsidP="000970FB" w:rsidRDefault="00C135F2" w14:paraId="7A114211" w14:textId="37E9E4B4">
      <w:pPr>
        <w:spacing w:line="360" w:lineRule="auto"/>
        <w:jc w:val="both"/>
        <w:rPr>
          <w:rFonts w:ascii="Verdana" w:hAnsi="Verdana"/>
          <w:sz w:val="18"/>
          <w:szCs w:val="18"/>
        </w:rPr>
      </w:pPr>
      <w:r w:rsidRPr="00F50F0C">
        <w:rPr>
          <w:rFonts w:ascii="Verdana" w:hAnsi="Verdana"/>
          <w:sz w:val="18"/>
          <w:szCs w:val="18"/>
        </w:rPr>
        <w:t>N.v.t.</w:t>
      </w:r>
    </w:p>
    <w:p w:rsidR="007C2240" w:rsidP="000970FB" w:rsidRDefault="007C2240" w14:paraId="1B697014" w14:textId="77777777">
      <w:pPr>
        <w:spacing w:line="360" w:lineRule="auto"/>
        <w:jc w:val="both"/>
        <w:rPr>
          <w:rFonts w:ascii="Verdana" w:hAnsi="Verdana"/>
          <w:bCs/>
          <w:sz w:val="18"/>
          <w:szCs w:val="18"/>
        </w:rPr>
      </w:pPr>
    </w:p>
    <w:p w:rsidRPr="00C135F2" w:rsidR="001D7BAF" w:rsidP="000970FB" w:rsidRDefault="001D7BAF" w14:paraId="404928FB" w14:textId="77777777">
      <w:pPr>
        <w:spacing w:line="360" w:lineRule="auto"/>
        <w:jc w:val="both"/>
        <w:rPr>
          <w:rFonts w:ascii="Verdana" w:hAnsi="Verdana"/>
          <w:bCs/>
          <w:sz w:val="18"/>
          <w:szCs w:val="18"/>
        </w:rPr>
      </w:pPr>
    </w:p>
    <w:p w:rsidRPr="00605154" w:rsidR="00CB7FF8" w:rsidP="000970FB" w:rsidRDefault="00F936B2" w14:paraId="32052748" w14:textId="77777777">
      <w:pPr>
        <w:numPr>
          <w:ilvl w:val="0"/>
          <w:numId w:val="8"/>
        </w:numPr>
        <w:spacing w:line="360" w:lineRule="auto"/>
        <w:jc w:val="both"/>
        <w:rPr>
          <w:rFonts w:ascii="Verdana" w:hAnsi="Verdana"/>
          <w:i/>
          <w:iCs/>
          <w:sz w:val="18"/>
          <w:szCs w:val="18"/>
        </w:rPr>
      </w:pPr>
      <w:r w:rsidRPr="00F50F0C">
        <w:rPr>
          <w:rFonts w:ascii="Verdana" w:hAnsi="Verdana"/>
          <w:i/>
          <w:iCs/>
          <w:sz w:val="18"/>
          <w:szCs w:val="18"/>
        </w:rPr>
        <w:t>Gevolgen voor concurrentiekracht</w:t>
      </w:r>
      <w:r w:rsidRPr="00F50F0C" w:rsidR="00CB7FF8">
        <w:rPr>
          <w:rFonts w:ascii="Verdana" w:hAnsi="Verdana"/>
          <w:i/>
          <w:iCs/>
          <w:sz w:val="18"/>
          <w:szCs w:val="18"/>
        </w:rPr>
        <w:t xml:space="preserve"> </w:t>
      </w:r>
      <w:r w:rsidRPr="00F50F0C" w:rsidR="000A39A4">
        <w:rPr>
          <w:rFonts w:ascii="Verdana" w:hAnsi="Verdana"/>
          <w:i/>
          <w:iCs/>
          <w:sz w:val="18"/>
          <w:szCs w:val="18"/>
        </w:rPr>
        <w:t>en geopolitieke aspecten</w:t>
      </w:r>
    </w:p>
    <w:p w:rsidRPr="00605154" w:rsidR="00CB7FF8" w:rsidP="000970FB" w:rsidRDefault="00EE2F25" w14:paraId="0AC0B30D" w14:textId="3318BB74">
      <w:pPr>
        <w:tabs>
          <w:tab w:val="left" w:pos="567"/>
          <w:tab w:val="left" w:pos="1134"/>
          <w:tab w:val="left" w:pos="1701"/>
          <w:tab w:val="left" w:pos="1843"/>
          <w:tab w:val="left" w:pos="2268"/>
          <w:tab w:val="left" w:pos="2552"/>
          <w:tab w:val="left" w:pos="2835"/>
          <w:tab w:val="left" w:pos="3119"/>
        </w:tabs>
        <w:spacing w:line="360" w:lineRule="auto"/>
        <w:jc w:val="both"/>
        <w:rPr>
          <w:rFonts w:ascii="Verdana" w:hAnsi="Verdana"/>
          <w:sz w:val="18"/>
          <w:szCs w:val="18"/>
        </w:rPr>
      </w:pPr>
      <w:r w:rsidRPr="00F50F0C">
        <w:rPr>
          <w:rFonts w:ascii="Verdana" w:hAnsi="Verdana"/>
          <w:sz w:val="18"/>
          <w:szCs w:val="18"/>
        </w:rPr>
        <w:lastRenderedPageBreak/>
        <w:t xml:space="preserve">Het voorgestelde besluit is mede bedoeld ter bescherming en bevordering van strategische belangen van de EU in een context van toenemende geopolitieke spanningen en economische concurrentie. Omdat de financiering van acties onder dit besluit voort kunnen komen uit het Global Europe instrument en het </w:t>
      </w:r>
      <w:r w:rsidRPr="00F50F0C" w:rsidR="00C165FB">
        <w:rPr>
          <w:rFonts w:ascii="Verdana" w:hAnsi="Verdana"/>
          <w:sz w:val="18"/>
          <w:szCs w:val="18"/>
        </w:rPr>
        <w:t>ECF</w:t>
      </w:r>
      <w:r w:rsidRPr="00F50F0C">
        <w:rPr>
          <w:rFonts w:ascii="Verdana" w:hAnsi="Verdana"/>
          <w:sz w:val="18"/>
          <w:szCs w:val="18"/>
        </w:rPr>
        <w:t>, die beide aanzienlijk strategischer en politieker zijn ingestoken dan voorgaande instrumenten, kan de EU mogelijkerwijs haar geopolitieke slagkracht vergroten met dit besluit.</w:t>
      </w:r>
    </w:p>
    <w:p w:rsidRPr="00DA19A2" w:rsidR="00B15836" w:rsidP="000970FB" w:rsidRDefault="00B15836" w14:paraId="2BEC85B2" w14:textId="77777777">
      <w:pPr>
        <w:tabs>
          <w:tab w:val="left" w:pos="567"/>
          <w:tab w:val="left" w:pos="1134"/>
          <w:tab w:val="left" w:pos="1701"/>
          <w:tab w:val="left" w:pos="1843"/>
          <w:tab w:val="left" w:pos="2268"/>
          <w:tab w:val="left" w:pos="2552"/>
          <w:tab w:val="left" w:pos="2835"/>
          <w:tab w:val="left" w:pos="3119"/>
        </w:tabs>
        <w:spacing w:line="360" w:lineRule="auto"/>
        <w:jc w:val="both"/>
        <w:rPr>
          <w:rFonts w:ascii="Verdana" w:hAnsi="Verdana"/>
          <w:i/>
          <w:sz w:val="18"/>
          <w:szCs w:val="18"/>
          <w:u w:val="single"/>
        </w:rPr>
      </w:pPr>
    </w:p>
    <w:p w:rsidRPr="00605154" w:rsidR="00CB7FF8" w:rsidP="000970FB" w:rsidRDefault="00CB7FF8" w14:paraId="1DA1AE8D" w14:textId="77777777">
      <w:pPr>
        <w:numPr>
          <w:ilvl w:val="0"/>
          <w:numId w:val="3"/>
        </w:numPr>
        <w:spacing w:line="360" w:lineRule="auto"/>
        <w:jc w:val="both"/>
        <w:rPr>
          <w:rFonts w:ascii="Verdana" w:hAnsi="Verdana"/>
          <w:b/>
          <w:bCs/>
          <w:sz w:val="18"/>
          <w:szCs w:val="18"/>
        </w:rPr>
      </w:pPr>
      <w:r w:rsidRPr="00F50F0C">
        <w:rPr>
          <w:rFonts w:ascii="Verdana" w:hAnsi="Verdana"/>
          <w:b/>
          <w:bCs/>
          <w:sz w:val="18"/>
          <w:szCs w:val="18"/>
        </w:rPr>
        <w:t>Implicaties juridisch</w:t>
      </w:r>
    </w:p>
    <w:p w:rsidRPr="00605154" w:rsidR="00B15836" w:rsidP="000970FB" w:rsidRDefault="00CB7FF8" w14:paraId="5C446905" w14:textId="77777777">
      <w:pPr>
        <w:numPr>
          <w:ilvl w:val="0"/>
          <w:numId w:val="9"/>
        </w:numPr>
        <w:spacing w:line="360" w:lineRule="auto"/>
        <w:jc w:val="both"/>
        <w:rPr>
          <w:rFonts w:ascii="Verdana" w:hAnsi="Verdana"/>
          <w:i/>
          <w:iCs/>
          <w:sz w:val="18"/>
          <w:szCs w:val="18"/>
        </w:rPr>
      </w:pPr>
      <w:r w:rsidRPr="00F50F0C">
        <w:rPr>
          <w:rFonts w:ascii="Verdana" w:hAnsi="Verdana"/>
          <w:i/>
          <w:iCs/>
          <w:sz w:val="18"/>
          <w:szCs w:val="18"/>
        </w:rPr>
        <w:t xml:space="preserve">Consequenties voor nationale en decentrale regelgeving en/of sanctionering beleid (inclusief  toepassing van de lex </w:t>
      </w:r>
      <w:proofErr w:type="spellStart"/>
      <w:r w:rsidRPr="00F50F0C">
        <w:rPr>
          <w:rFonts w:ascii="Verdana" w:hAnsi="Verdana"/>
          <w:i/>
          <w:iCs/>
          <w:sz w:val="18"/>
          <w:szCs w:val="18"/>
        </w:rPr>
        <w:t>silencio</w:t>
      </w:r>
      <w:proofErr w:type="spellEnd"/>
      <w:r w:rsidRPr="00F50F0C">
        <w:rPr>
          <w:rFonts w:ascii="Verdana" w:hAnsi="Verdana"/>
          <w:i/>
          <w:iCs/>
          <w:sz w:val="18"/>
          <w:szCs w:val="18"/>
        </w:rPr>
        <w:t xml:space="preserve"> positivo)</w:t>
      </w:r>
    </w:p>
    <w:p w:rsidRPr="00605154" w:rsidR="007D2CC3" w:rsidP="000970FB" w:rsidRDefault="007D2CC3" w14:paraId="129CD2E6" w14:textId="4A849B3E">
      <w:pPr>
        <w:spacing w:line="360" w:lineRule="auto"/>
        <w:jc w:val="both"/>
        <w:rPr>
          <w:rFonts w:ascii="Verdana" w:hAnsi="Verdana"/>
          <w:i/>
          <w:iCs/>
          <w:sz w:val="18"/>
          <w:szCs w:val="18"/>
        </w:rPr>
      </w:pPr>
      <w:r w:rsidRPr="00F50F0C">
        <w:rPr>
          <w:rFonts w:ascii="Verdana" w:hAnsi="Verdana"/>
          <w:sz w:val="18"/>
          <w:szCs w:val="18"/>
        </w:rPr>
        <w:t xml:space="preserve">Het </w:t>
      </w:r>
      <w:r w:rsidRPr="00F50F0C" w:rsidR="00E138A5">
        <w:rPr>
          <w:rFonts w:ascii="Verdana" w:hAnsi="Verdana"/>
          <w:sz w:val="18"/>
          <w:szCs w:val="18"/>
        </w:rPr>
        <w:t>nieuwe LGO besluit is gebaseerd op het huidige LGO en leidt niet tot wijzigingen in</w:t>
      </w:r>
      <w:r w:rsidRPr="00F50F0C">
        <w:rPr>
          <w:rFonts w:ascii="Verdana" w:hAnsi="Verdana"/>
          <w:sz w:val="18"/>
          <w:szCs w:val="18"/>
        </w:rPr>
        <w:t xml:space="preserve"> nationale </w:t>
      </w:r>
      <w:r w:rsidRPr="00F50F0C" w:rsidR="00DE78C8">
        <w:rPr>
          <w:rFonts w:ascii="Verdana" w:hAnsi="Verdana"/>
          <w:sz w:val="18"/>
          <w:szCs w:val="18"/>
        </w:rPr>
        <w:t>en</w:t>
      </w:r>
      <w:r w:rsidRPr="00F50F0C">
        <w:rPr>
          <w:rFonts w:ascii="Verdana" w:hAnsi="Verdana"/>
          <w:sz w:val="18"/>
          <w:szCs w:val="18"/>
        </w:rPr>
        <w:t xml:space="preserve"> decentrale regelgeving. </w:t>
      </w:r>
    </w:p>
    <w:p w:rsidRPr="0031232E" w:rsidR="00ED491C" w:rsidP="000970FB" w:rsidRDefault="00ED491C" w14:paraId="2AE2C8E9" w14:textId="4D5361E7">
      <w:pPr>
        <w:spacing w:line="360" w:lineRule="auto"/>
        <w:ind w:left="360"/>
        <w:jc w:val="both"/>
        <w:rPr>
          <w:rFonts w:ascii="Verdana" w:hAnsi="Verdana"/>
          <w:bCs/>
          <w:sz w:val="18"/>
          <w:szCs w:val="18"/>
        </w:rPr>
      </w:pPr>
    </w:p>
    <w:p w:rsidRPr="00605154" w:rsidR="00F74E07" w:rsidP="000970FB" w:rsidRDefault="00F74E07" w14:paraId="6FA4A2F2" w14:textId="77777777">
      <w:pPr>
        <w:numPr>
          <w:ilvl w:val="0"/>
          <w:numId w:val="9"/>
        </w:numPr>
        <w:tabs>
          <w:tab w:val="left" w:pos="-426"/>
        </w:tabs>
        <w:suppressAutoHyphens/>
        <w:spacing w:line="360" w:lineRule="auto"/>
        <w:jc w:val="both"/>
        <w:rPr>
          <w:rFonts w:ascii="Verdana" w:hAnsi="Verdana"/>
          <w:i/>
          <w:iCs/>
          <w:sz w:val="18"/>
          <w:szCs w:val="18"/>
        </w:rPr>
      </w:pPr>
      <w:r w:rsidRPr="00F50F0C">
        <w:rPr>
          <w:rFonts w:ascii="Verdana" w:hAnsi="Verdana"/>
          <w:i/>
          <w:iCs/>
          <w:sz w:val="18"/>
          <w:szCs w:val="18"/>
        </w:rPr>
        <w:t>Gedelegeerde en/of uitvoeringshandelingen, incl. NL-beoordeling daarvan</w:t>
      </w:r>
    </w:p>
    <w:p w:rsidR="00287740" w:rsidP="000970FB" w:rsidRDefault="00826C9F" w14:paraId="1B866BD2" w14:textId="7AC48E87">
      <w:pPr>
        <w:pStyle w:val="Basis"/>
        <w:spacing w:line="360" w:lineRule="auto"/>
        <w:jc w:val="both"/>
        <w:rPr>
          <w:rFonts w:ascii="Verdana" w:hAnsi="Verdana"/>
          <w:kern w:val="0"/>
          <w:lang w:eastAsia="zh-CN"/>
        </w:rPr>
      </w:pPr>
      <w:r>
        <w:rPr>
          <w:rFonts w:ascii="Verdana" w:hAnsi="Verdana"/>
          <w:kern w:val="0"/>
          <w:lang w:eastAsia="zh-CN"/>
        </w:rPr>
        <w:t xml:space="preserve">Er wordt één gedelegeerde handeling voorgesteld. </w:t>
      </w:r>
      <w:r w:rsidRPr="00F50F0C" w:rsidR="00536E36">
        <w:rPr>
          <w:rFonts w:ascii="Verdana" w:hAnsi="Verdana"/>
          <w:kern w:val="0"/>
          <w:lang w:eastAsia="zh-CN"/>
        </w:rPr>
        <w:t xml:space="preserve">Op grond van artikel </w:t>
      </w:r>
      <w:r w:rsidR="00CA7091">
        <w:rPr>
          <w:rFonts w:ascii="Verdana" w:hAnsi="Verdana"/>
          <w:kern w:val="0"/>
          <w:lang w:eastAsia="zh-CN"/>
        </w:rPr>
        <w:t xml:space="preserve">1, lid 13, van het voorstel wordt artikel </w:t>
      </w:r>
      <w:r w:rsidRPr="00F50F0C" w:rsidR="00536E36">
        <w:rPr>
          <w:rFonts w:ascii="Verdana" w:hAnsi="Verdana"/>
          <w:kern w:val="0"/>
          <w:lang w:eastAsia="zh-CN"/>
        </w:rPr>
        <w:t>88</w:t>
      </w:r>
      <w:r w:rsidR="00CA7091">
        <w:rPr>
          <w:rFonts w:ascii="Verdana" w:hAnsi="Verdana"/>
          <w:kern w:val="0"/>
          <w:lang w:eastAsia="zh-CN"/>
        </w:rPr>
        <w:t>, lid 2,</w:t>
      </w:r>
      <w:r w:rsidRPr="00F50F0C" w:rsidR="00536E36">
        <w:rPr>
          <w:rFonts w:ascii="Verdana" w:hAnsi="Verdana"/>
          <w:kern w:val="0"/>
          <w:lang w:eastAsia="zh-CN"/>
        </w:rPr>
        <w:t xml:space="preserve"> </w:t>
      </w:r>
      <w:r w:rsidRPr="00F50F0C" w:rsidR="007D2CC3">
        <w:rPr>
          <w:rFonts w:ascii="Verdana" w:hAnsi="Verdana"/>
          <w:kern w:val="0"/>
          <w:lang w:eastAsia="zh-CN"/>
        </w:rPr>
        <w:t xml:space="preserve">van het </w:t>
      </w:r>
      <w:r w:rsidR="00CA7091">
        <w:rPr>
          <w:rFonts w:ascii="Verdana" w:hAnsi="Verdana"/>
          <w:kern w:val="0"/>
          <w:lang w:eastAsia="zh-CN"/>
        </w:rPr>
        <w:t xml:space="preserve">bestaande </w:t>
      </w:r>
      <w:r w:rsidRPr="00F50F0C" w:rsidR="007D2CC3">
        <w:rPr>
          <w:rFonts w:ascii="Verdana" w:hAnsi="Verdana"/>
          <w:kern w:val="0"/>
          <w:lang w:eastAsia="zh-CN"/>
        </w:rPr>
        <w:t xml:space="preserve">LGO besluit </w:t>
      </w:r>
      <w:r w:rsidR="00CA7091">
        <w:rPr>
          <w:rFonts w:ascii="Verdana" w:hAnsi="Verdana"/>
          <w:kern w:val="0"/>
          <w:lang w:eastAsia="zh-CN"/>
        </w:rPr>
        <w:t>gewijzigd. De</w:t>
      </w:r>
      <w:r w:rsidRPr="00F50F0C" w:rsidR="00536E36">
        <w:rPr>
          <w:rFonts w:ascii="Verdana" w:hAnsi="Verdana"/>
          <w:kern w:val="0"/>
          <w:lang w:eastAsia="zh-CN"/>
        </w:rPr>
        <w:t xml:space="preserve"> Commissie </w:t>
      </w:r>
      <w:r w:rsidR="009929BE">
        <w:rPr>
          <w:rFonts w:ascii="Verdana" w:hAnsi="Verdana"/>
          <w:kern w:val="0"/>
          <w:lang w:eastAsia="zh-CN"/>
        </w:rPr>
        <w:t xml:space="preserve">wordt daarmee </w:t>
      </w:r>
      <w:r w:rsidRPr="00F50F0C" w:rsidR="00536E36">
        <w:rPr>
          <w:rFonts w:ascii="Verdana" w:hAnsi="Verdana"/>
          <w:kern w:val="0"/>
          <w:lang w:eastAsia="zh-CN"/>
        </w:rPr>
        <w:t xml:space="preserve">gemachtigd om gedelegeerde handelingen vast te stellen om het in artikel 81, lid 5, van het voorstel opgenomen voorzieningspercentage van 9% voor leningen die beschikbaar worden gesteld voor de </w:t>
      </w:r>
      <w:proofErr w:type="spellStart"/>
      <w:r w:rsidRPr="00F50F0C" w:rsidR="00536E36">
        <w:rPr>
          <w:rFonts w:ascii="Verdana" w:hAnsi="Verdana"/>
          <w:kern w:val="0"/>
          <w:lang w:eastAsia="zh-CN"/>
        </w:rPr>
        <w:t>LGO’s</w:t>
      </w:r>
      <w:proofErr w:type="spellEnd"/>
      <w:r w:rsidRPr="00F50F0C" w:rsidR="00536E36">
        <w:rPr>
          <w:rFonts w:ascii="Verdana" w:hAnsi="Verdana"/>
          <w:kern w:val="0"/>
          <w:lang w:eastAsia="zh-CN"/>
        </w:rPr>
        <w:t xml:space="preserve"> te wijzigen in overeenstemming met de beoordeling bedoeld in artikel 41, lid 5, onder g), van Verordening (EU, Euratom) 2024/2509 en in overeenstemming met het risicobeheerkader van de Commissie.</w:t>
      </w:r>
      <w:r w:rsidR="00CA7091">
        <w:rPr>
          <w:rFonts w:ascii="Verdana" w:hAnsi="Verdana"/>
          <w:kern w:val="0"/>
          <w:lang w:eastAsia="zh-CN"/>
        </w:rPr>
        <w:t xml:space="preserve"> </w:t>
      </w:r>
      <w:r w:rsidRPr="00CA7091" w:rsidR="00CA7091">
        <w:rPr>
          <w:rFonts w:ascii="Verdana" w:hAnsi="Verdana"/>
          <w:kern w:val="0"/>
          <w:lang w:eastAsia="zh-CN"/>
        </w:rPr>
        <w:t>Het toekennen van deze bevoegdhe</w:t>
      </w:r>
      <w:r w:rsidR="009929BE">
        <w:rPr>
          <w:rFonts w:ascii="Verdana" w:hAnsi="Verdana"/>
          <w:kern w:val="0"/>
          <w:lang w:eastAsia="zh-CN"/>
        </w:rPr>
        <w:t>i</w:t>
      </w:r>
      <w:r w:rsidRPr="00CA7091" w:rsidR="00CA7091">
        <w:rPr>
          <w:rFonts w:ascii="Verdana" w:hAnsi="Verdana"/>
          <w:kern w:val="0"/>
          <w:lang w:eastAsia="zh-CN"/>
        </w:rPr>
        <w:t>d is mogelijk, omdat het</w:t>
      </w:r>
      <w:r w:rsidR="00226B47">
        <w:rPr>
          <w:rFonts w:ascii="Verdana" w:hAnsi="Verdana"/>
          <w:kern w:val="0"/>
          <w:lang w:eastAsia="zh-CN"/>
        </w:rPr>
        <w:t xml:space="preserve"> niet</w:t>
      </w:r>
      <w:r w:rsidR="009929BE">
        <w:rPr>
          <w:rFonts w:ascii="Verdana" w:hAnsi="Verdana"/>
          <w:kern w:val="0"/>
          <w:lang w:eastAsia="zh-CN"/>
        </w:rPr>
        <w:t>-</w:t>
      </w:r>
      <w:r w:rsidRPr="00CA7091" w:rsidR="00CA7091">
        <w:rPr>
          <w:rFonts w:ascii="Verdana" w:hAnsi="Verdana"/>
          <w:kern w:val="0"/>
          <w:lang w:eastAsia="zh-CN"/>
        </w:rPr>
        <w:t>essentiële onderdelen van de basishandeling betreft. Toekenning van deze bevoegdhe</w:t>
      </w:r>
      <w:r w:rsidR="009929BE">
        <w:rPr>
          <w:rFonts w:ascii="Verdana" w:hAnsi="Verdana"/>
          <w:kern w:val="0"/>
          <w:lang w:eastAsia="zh-CN"/>
        </w:rPr>
        <w:t>i</w:t>
      </w:r>
      <w:r w:rsidRPr="00CA7091" w:rsidR="00CA7091">
        <w:rPr>
          <w:rFonts w:ascii="Verdana" w:hAnsi="Verdana"/>
          <w:kern w:val="0"/>
          <w:lang w:eastAsia="zh-CN"/>
        </w:rPr>
        <w:t>d acht het kabinet wenselijk, omdat</w:t>
      </w:r>
      <w:r w:rsidR="009929BE">
        <w:rPr>
          <w:rFonts w:ascii="Verdana" w:hAnsi="Verdana"/>
          <w:kern w:val="0"/>
          <w:lang w:eastAsia="zh-CN"/>
        </w:rPr>
        <w:t xml:space="preserve"> </w:t>
      </w:r>
      <w:r w:rsidR="00AA6C84">
        <w:rPr>
          <w:rFonts w:ascii="Verdana" w:hAnsi="Verdana"/>
          <w:kern w:val="0"/>
          <w:lang w:eastAsia="zh-CN"/>
        </w:rPr>
        <w:t xml:space="preserve">er behoefte is aan flexibiliteit m.b.t. het beschikbaar </w:t>
      </w:r>
      <w:r w:rsidR="00401E2B">
        <w:rPr>
          <w:rFonts w:ascii="Verdana" w:hAnsi="Verdana"/>
          <w:kern w:val="0"/>
          <w:lang w:eastAsia="zh-CN"/>
        </w:rPr>
        <w:t>stellen</w:t>
      </w:r>
      <w:r w:rsidR="00AA6C84">
        <w:rPr>
          <w:rFonts w:ascii="Verdana" w:hAnsi="Verdana"/>
          <w:kern w:val="0"/>
          <w:lang w:eastAsia="zh-CN"/>
        </w:rPr>
        <w:t xml:space="preserve"> van aanvullende financieringsmogelijkheden voor de LGO</w:t>
      </w:r>
      <w:r w:rsidRPr="00605154" w:rsidR="0005603A">
        <w:rPr>
          <w:rFonts w:ascii="Verdana" w:hAnsi="Verdana"/>
          <w:kern w:val="0"/>
          <w:lang w:eastAsia="zh-CN"/>
        </w:rPr>
        <w:t>.</w:t>
      </w:r>
      <w:r w:rsidRPr="00605154" w:rsidR="00CA7091">
        <w:rPr>
          <w:rFonts w:ascii="Verdana" w:hAnsi="Verdana"/>
          <w:kern w:val="0"/>
          <w:lang w:eastAsia="zh-CN"/>
        </w:rPr>
        <w:t xml:space="preserve"> Delegatie</w:t>
      </w:r>
      <w:r w:rsidRPr="00CA7091" w:rsidR="00CA7091">
        <w:rPr>
          <w:rFonts w:ascii="Verdana" w:hAnsi="Verdana"/>
          <w:kern w:val="0"/>
          <w:lang w:eastAsia="zh-CN"/>
        </w:rPr>
        <w:t xml:space="preserve"> i.p.v. uitvoering ligt hier voor de hand omdat</w:t>
      </w:r>
      <w:r w:rsidR="009929BE">
        <w:rPr>
          <w:rFonts w:ascii="Verdana" w:hAnsi="Verdana"/>
          <w:kern w:val="0"/>
          <w:lang w:eastAsia="zh-CN"/>
        </w:rPr>
        <w:t xml:space="preserve"> het hier gaat om het wijzigen van de basishandeling</w:t>
      </w:r>
      <w:r w:rsidR="0005603A">
        <w:rPr>
          <w:rFonts w:ascii="Verdana" w:hAnsi="Verdana"/>
          <w:kern w:val="0"/>
          <w:lang w:eastAsia="zh-CN"/>
        </w:rPr>
        <w:t>.</w:t>
      </w:r>
      <w:r w:rsidR="00226B47">
        <w:rPr>
          <w:rFonts w:ascii="Verdana" w:hAnsi="Verdana"/>
          <w:kern w:val="0"/>
          <w:lang w:eastAsia="zh-CN"/>
        </w:rPr>
        <w:t xml:space="preserve"> </w:t>
      </w:r>
      <w:r w:rsidRPr="00CA7091" w:rsidR="00CA7091">
        <w:rPr>
          <w:rFonts w:ascii="Verdana" w:hAnsi="Verdana"/>
          <w:kern w:val="0"/>
          <w:lang w:eastAsia="zh-CN"/>
        </w:rPr>
        <w:t>Het kabinet acht deze bevoegdheid voldoende afgebakend.</w:t>
      </w:r>
    </w:p>
    <w:p w:rsidR="00826C9F" w:rsidP="000970FB" w:rsidRDefault="00826C9F" w14:paraId="16B05FD0" w14:textId="77777777">
      <w:pPr>
        <w:pStyle w:val="Basis"/>
        <w:spacing w:line="360" w:lineRule="auto"/>
        <w:jc w:val="both"/>
        <w:rPr>
          <w:rFonts w:ascii="Verdana" w:hAnsi="Verdana"/>
          <w:kern w:val="0"/>
          <w:lang w:eastAsia="zh-CN"/>
        </w:rPr>
      </w:pPr>
      <w:r>
        <w:rPr>
          <w:rFonts w:ascii="Verdana" w:hAnsi="Verdana"/>
          <w:kern w:val="0"/>
          <w:lang w:eastAsia="zh-CN"/>
        </w:rPr>
        <w:br/>
        <w:t xml:space="preserve">Onder artikel 1, lid 8 van het voorstel wordt twee uitvoeringshandelingen voorgesteld: </w:t>
      </w:r>
    </w:p>
    <w:p w:rsidR="00826C9F" w:rsidP="000970FB" w:rsidRDefault="00826C9F" w14:paraId="2F84540D" w14:textId="60A9629E">
      <w:pPr>
        <w:pStyle w:val="Basis"/>
        <w:numPr>
          <w:ilvl w:val="0"/>
          <w:numId w:val="13"/>
        </w:numPr>
        <w:spacing w:line="360" w:lineRule="auto"/>
        <w:jc w:val="both"/>
        <w:rPr>
          <w:rFonts w:ascii="Verdana" w:hAnsi="Verdana"/>
          <w:kern w:val="0"/>
          <w:lang w:eastAsia="zh-CN"/>
        </w:rPr>
      </w:pPr>
      <w:r>
        <w:rPr>
          <w:rFonts w:ascii="Verdana" w:hAnsi="Verdana"/>
          <w:kern w:val="0"/>
          <w:lang w:eastAsia="zh-CN"/>
        </w:rPr>
        <w:t xml:space="preserve">Ter amendering van artikel 81, lid 3 </w:t>
      </w:r>
      <w:r w:rsidR="00541F6E">
        <w:rPr>
          <w:rFonts w:ascii="Verdana" w:hAnsi="Verdana"/>
          <w:kern w:val="0"/>
          <w:lang w:eastAsia="zh-CN"/>
        </w:rPr>
        <w:t>betreft dit de bevoegdheid</w:t>
      </w:r>
      <w:r>
        <w:rPr>
          <w:rFonts w:ascii="Verdana" w:hAnsi="Verdana"/>
          <w:kern w:val="0"/>
          <w:lang w:eastAsia="zh-CN"/>
        </w:rPr>
        <w:t xml:space="preserve"> om uitvoeringshandelingen vast te stellen om de hoogte en duur van de lening vast te stellen voor specifieke LGO, in lijn met de onderzoeksprocedure. </w:t>
      </w:r>
    </w:p>
    <w:p w:rsidR="00826C9F" w:rsidP="000970FB" w:rsidRDefault="00826C9F" w14:paraId="1F0793F3" w14:textId="4EEBE0F6">
      <w:pPr>
        <w:pStyle w:val="Basis"/>
        <w:numPr>
          <w:ilvl w:val="0"/>
          <w:numId w:val="13"/>
        </w:numPr>
        <w:spacing w:line="360" w:lineRule="auto"/>
        <w:jc w:val="both"/>
        <w:rPr>
          <w:rFonts w:ascii="Verdana" w:hAnsi="Verdana"/>
          <w:kern w:val="0"/>
          <w:lang w:eastAsia="zh-CN"/>
        </w:rPr>
      </w:pPr>
      <w:r>
        <w:rPr>
          <w:rFonts w:ascii="Verdana" w:hAnsi="Verdana"/>
          <w:kern w:val="0"/>
          <w:lang w:eastAsia="zh-CN"/>
        </w:rPr>
        <w:t xml:space="preserve">Ter amendering van artikel 82, lid 3 </w:t>
      </w:r>
      <w:r w:rsidR="00541F6E">
        <w:rPr>
          <w:rFonts w:ascii="Verdana" w:hAnsi="Verdana"/>
          <w:kern w:val="0"/>
          <w:lang w:eastAsia="zh-CN"/>
        </w:rPr>
        <w:t>betreft dit de bevoegdheid</w:t>
      </w:r>
      <w:r>
        <w:rPr>
          <w:rFonts w:ascii="Verdana" w:hAnsi="Verdana"/>
          <w:kern w:val="0"/>
          <w:lang w:eastAsia="zh-CN"/>
        </w:rPr>
        <w:t xml:space="preserve"> om uitvoeringshandelingen vast te stellen om de programma documenten, actieplannen en regelingen vast te stellen, in lijn met de onderzoeksprocedure. </w:t>
      </w:r>
    </w:p>
    <w:p w:rsidR="00826C9F" w:rsidP="000970FB" w:rsidRDefault="00826C9F" w14:paraId="65AEB897" w14:textId="77777777">
      <w:pPr>
        <w:pStyle w:val="Basis"/>
        <w:spacing w:line="360" w:lineRule="auto"/>
        <w:jc w:val="both"/>
        <w:rPr>
          <w:rFonts w:ascii="Verdana" w:hAnsi="Verdana"/>
          <w:kern w:val="0"/>
          <w:lang w:eastAsia="zh-CN"/>
        </w:rPr>
      </w:pPr>
    </w:p>
    <w:p w:rsidR="00263468" w:rsidP="000970FB" w:rsidRDefault="00541F6E" w14:paraId="49E2D2AE" w14:textId="77777777">
      <w:pPr>
        <w:pStyle w:val="Basis"/>
        <w:spacing w:line="360" w:lineRule="auto"/>
        <w:jc w:val="both"/>
        <w:rPr>
          <w:rFonts w:ascii="Verdana" w:hAnsi="Verdana"/>
          <w:kern w:val="0"/>
          <w:lang w:eastAsia="zh-CN"/>
        </w:rPr>
      </w:pPr>
      <w:r>
        <w:rPr>
          <w:rFonts w:ascii="Verdana" w:hAnsi="Verdana"/>
          <w:kern w:val="0"/>
          <w:lang w:eastAsia="zh-CN"/>
        </w:rPr>
        <w:t xml:space="preserve">Het toekennen van deze uitvoeringshandelingen is mogelijk, omdat het niet essentiële onderdelen van </w:t>
      </w:r>
      <w:r w:rsidR="00642410">
        <w:rPr>
          <w:rFonts w:ascii="Verdana" w:hAnsi="Verdana"/>
          <w:kern w:val="0"/>
          <w:lang w:eastAsia="zh-CN"/>
        </w:rPr>
        <w:t xml:space="preserve">de </w:t>
      </w:r>
      <w:r>
        <w:rPr>
          <w:rFonts w:ascii="Verdana" w:hAnsi="Verdana"/>
          <w:kern w:val="0"/>
          <w:lang w:eastAsia="zh-CN"/>
        </w:rPr>
        <w:t xml:space="preserve">basishandeling betreft. Toekenning van deze bevoegdheden acht het kabinet </w:t>
      </w:r>
      <w:r w:rsidR="00CC279C">
        <w:rPr>
          <w:rFonts w:ascii="Verdana" w:hAnsi="Verdana"/>
          <w:kern w:val="0"/>
          <w:lang w:eastAsia="zh-CN"/>
        </w:rPr>
        <w:t>wenselijk</w:t>
      </w:r>
      <w:r>
        <w:rPr>
          <w:rFonts w:ascii="Verdana" w:hAnsi="Verdana"/>
          <w:kern w:val="0"/>
          <w:lang w:eastAsia="zh-CN"/>
        </w:rPr>
        <w:t xml:space="preserve">, omdat </w:t>
      </w:r>
      <w:r w:rsidR="00443A76">
        <w:rPr>
          <w:rFonts w:ascii="Verdana" w:hAnsi="Verdana"/>
          <w:kern w:val="0"/>
          <w:lang w:eastAsia="zh-CN"/>
        </w:rPr>
        <w:t>de uitvoeringshandelingen voorzien voor dermate gedetailleerde en specifieke onderdelen van het besluit dat het regelen van deze zaken in de basishandeling onwerkbaar en dus onwenselijk zou zijn</w:t>
      </w:r>
      <w:r w:rsidR="00CC279C">
        <w:rPr>
          <w:rFonts w:ascii="Verdana" w:hAnsi="Verdana"/>
          <w:kern w:val="0"/>
          <w:lang w:eastAsia="zh-CN"/>
        </w:rPr>
        <w:t xml:space="preserve">. </w:t>
      </w:r>
      <w:r>
        <w:rPr>
          <w:rFonts w:ascii="Verdana" w:hAnsi="Verdana"/>
          <w:kern w:val="0"/>
          <w:lang w:eastAsia="zh-CN"/>
        </w:rPr>
        <w:t xml:space="preserve">De keuze voor uitvoering i.p.v. delegatie ligt hier voor de hand omdat de </w:t>
      </w:r>
      <w:r w:rsidR="00443A76">
        <w:rPr>
          <w:rFonts w:ascii="Verdana" w:hAnsi="Verdana"/>
          <w:kern w:val="0"/>
          <w:lang w:eastAsia="zh-CN"/>
        </w:rPr>
        <w:t xml:space="preserve">maatregelen die worden getroffen niet van algemene strekking zijn. </w:t>
      </w:r>
    </w:p>
    <w:p w:rsidR="00541F6E" w:rsidP="000970FB" w:rsidRDefault="00443A76" w14:paraId="0F61F794" w14:textId="28A12A5C">
      <w:pPr>
        <w:pStyle w:val="Basis"/>
        <w:spacing w:line="360" w:lineRule="auto"/>
        <w:jc w:val="both"/>
        <w:rPr>
          <w:rFonts w:ascii="Verdana" w:hAnsi="Verdana"/>
          <w:kern w:val="0"/>
          <w:lang w:eastAsia="zh-CN"/>
        </w:rPr>
      </w:pPr>
      <w:r>
        <w:rPr>
          <w:rFonts w:ascii="Verdana" w:hAnsi="Verdana"/>
          <w:kern w:val="0"/>
          <w:lang w:eastAsia="zh-CN"/>
        </w:rPr>
        <w:lastRenderedPageBreak/>
        <w:t xml:space="preserve">De </w:t>
      </w:r>
      <w:r w:rsidR="00541F6E">
        <w:rPr>
          <w:rFonts w:ascii="Verdana" w:hAnsi="Verdana"/>
          <w:kern w:val="0"/>
          <w:lang w:eastAsia="zh-CN"/>
        </w:rPr>
        <w:t xml:space="preserve">leningen, programma documenten en actieplannen bedoeld zijn voor specifieke LGO. De uitvoeringshandelingen worden vastgesteld volgens de onderzoeksprocedure als bedoeld in artikel 5 van verordening 182/2011. Toepassing van deze procedure is volgens het kabinet wel op zijn plaats omdat </w:t>
      </w:r>
      <w:r>
        <w:rPr>
          <w:rFonts w:ascii="Verdana" w:hAnsi="Verdana"/>
          <w:kern w:val="0"/>
          <w:lang w:eastAsia="zh-CN"/>
        </w:rPr>
        <w:t xml:space="preserve">het gaat om programma’s die aanzienlijke implicaties hebben (artikel 2, lid 2, sub b, onder i), van verordening 182/2011). </w:t>
      </w:r>
      <w:r w:rsidRPr="00527B62">
        <w:rPr>
          <w:rFonts w:ascii="Verdana" w:hAnsi="Verdana"/>
        </w:rPr>
        <w:t>Het kabinet acht het dus wenselijk om middels het gebruik van deze procedure de belangen van de lidstaten verder te borgen</w:t>
      </w:r>
      <w:r w:rsidRPr="00500ECE">
        <w:rPr>
          <w:rFonts w:ascii="Verdana" w:hAnsi="Verdana"/>
          <w:i/>
          <w:iCs/>
        </w:rPr>
        <w:t xml:space="preserve">. </w:t>
      </w:r>
    </w:p>
    <w:p w:rsidRPr="00605154" w:rsidR="00287740" w:rsidP="000970FB" w:rsidRDefault="00287740" w14:paraId="7BD72A64" w14:textId="77777777">
      <w:pPr>
        <w:tabs>
          <w:tab w:val="left" w:pos="-426"/>
        </w:tabs>
        <w:suppressAutoHyphens/>
        <w:spacing w:line="240" w:lineRule="auto"/>
        <w:jc w:val="both"/>
        <w:rPr>
          <w:rFonts w:ascii="Verdana" w:hAnsi="Verdana"/>
          <w:bCs/>
          <w:sz w:val="18"/>
          <w:szCs w:val="18"/>
        </w:rPr>
      </w:pPr>
    </w:p>
    <w:p w:rsidRPr="00605154" w:rsidR="00CB7FF8" w:rsidP="000970FB" w:rsidRDefault="00CB7FF8" w14:paraId="1A0C1940" w14:textId="77777777">
      <w:pPr>
        <w:numPr>
          <w:ilvl w:val="0"/>
          <w:numId w:val="9"/>
        </w:numPr>
        <w:spacing w:line="360" w:lineRule="auto"/>
        <w:jc w:val="both"/>
        <w:rPr>
          <w:rFonts w:ascii="Verdana" w:hAnsi="Verdana"/>
          <w:i/>
          <w:iCs/>
          <w:sz w:val="18"/>
          <w:szCs w:val="18"/>
        </w:rPr>
      </w:pPr>
      <w:r w:rsidRPr="00F50F0C">
        <w:rPr>
          <w:rFonts w:ascii="Verdana" w:hAnsi="Verdana"/>
          <w:i/>
          <w:iCs/>
          <w:sz w:val="18"/>
          <w:szCs w:val="18"/>
        </w:rPr>
        <w:t>Voorgestelde implementatietermijn (bij richtlijnen), dan wel voorgestelde datum inwerkingtreding (bij verordeningen en bes</w:t>
      </w:r>
      <w:r w:rsidRPr="00F50F0C" w:rsidR="00AE735B">
        <w:rPr>
          <w:rFonts w:ascii="Verdana" w:hAnsi="Verdana"/>
          <w:i/>
          <w:iCs/>
          <w:sz w:val="18"/>
          <w:szCs w:val="18"/>
        </w:rPr>
        <w:t>luiten</w:t>
      </w:r>
      <w:r w:rsidRPr="00F50F0C">
        <w:rPr>
          <w:rFonts w:ascii="Verdana" w:hAnsi="Verdana"/>
          <w:i/>
          <w:iCs/>
          <w:sz w:val="18"/>
          <w:szCs w:val="18"/>
        </w:rPr>
        <w:t>) met commentaar t.a.v. haalbaarheid</w:t>
      </w:r>
    </w:p>
    <w:p w:rsidRPr="00605154" w:rsidR="00287740" w:rsidP="000970FB" w:rsidRDefault="00287740" w14:paraId="3C5C5D15" w14:textId="268632FE">
      <w:pPr>
        <w:pStyle w:val="Basis"/>
        <w:spacing w:line="360" w:lineRule="auto"/>
        <w:jc w:val="both"/>
        <w:rPr>
          <w:rFonts w:ascii="Verdana" w:hAnsi="Verdana"/>
          <w:kern w:val="0"/>
          <w:lang w:eastAsia="zh-CN"/>
        </w:rPr>
      </w:pPr>
      <w:r w:rsidRPr="00F50F0C">
        <w:rPr>
          <w:rFonts w:ascii="Verdana" w:hAnsi="Verdana"/>
          <w:kern w:val="0"/>
          <w:lang w:eastAsia="zh-CN"/>
        </w:rPr>
        <w:t>Het besluit treedt in werking op de twintigste dag na die van de bekendmaking ervan in het Publicatieblad van de Europese Unie. En is van toepassing vanaf 1 januari 2028. Dit is volgens het kabinet haalbaar.</w:t>
      </w:r>
    </w:p>
    <w:p w:rsidRPr="00287740" w:rsidR="00287740" w:rsidP="000970FB" w:rsidRDefault="00287740" w14:paraId="453898C4" w14:textId="77777777">
      <w:pPr>
        <w:pStyle w:val="Basis"/>
        <w:ind w:left="360"/>
        <w:jc w:val="both"/>
        <w:rPr>
          <w:rFonts w:ascii="Verdana" w:hAnsi="Verdana"/>
          <w:bCs/>
          <w:kern w:val="0"/>
          <w:szCs w:val="18"/>
          <w:lang w:eastAsia="zh-CN"/>
        </w:rPr>
      </w:pPr>
    </w:p>
    <w:p w:rsidRPr="00605154" w:rsidR="00CB7FF8" w:rsidP="000970FB" w:rsidRDefault="00CB7FF8" w14:paraId="5D315F20" w14:textId="77777777">
      <w:pPr>
        <w:numPr>
          <w:ilvl w:val="0"/>
          <w:numId w:val="9"/>
        </w:numPr>
        <w:spacing w:line="360" w:lineRule="auto"/>
        <w:jc w:val="both"/>
        <w:rPr>
          <w:rFonts w:ascii="Verdana" w:hAnsi="Verdana"/>
          <w:i/>
          <w:iCs/>
          <w:sz w:val="18"/>
          <w:szCs w:val="18"/>
        </w:rPr>
      </w:pPr>
      <w:r w:rsidRPr="00F50F0C">
        <w:rPr>
          <w:rFonts w:ascii="Verdana" w:hAnsi="Verdana"/>
          <w:i/>
          <w:iCs/>
          <w:sz w:val="18"/>
          <w:szCs w:val="18"/>
        </w:rPr>
        <w:t>Wenselijkheid evaluatie-/horizonbepaling</w:t>
      </w:r>
    </w:p>
    <w:p w:rsidRPr="00605154" w:rsidR="00287740" w:rsidP="000970FB" w:rsidRDefault="00287740" w14:paraId="758C72E5" w14:textId="36FD7B9E">
      <w:pPr>
        <w:pStyle w:val="Basis"/>
        <w:spacing w:line="360" w:lineRule="auto"/>
        <w:jc w:val="both"/>
        <w:rPr>
          <w:rFonts w:ascii="Verdana" w:hAnsi="Verdana"/>
          <w:kern w:val="0"/>
          <w:lang w:eastAsia="zh-CN"/>
        </w:rPr>
      </w:pPr>
      <w:r w:rsidRPr="00F50F0C">
        <w:rPr>
          <w:rFonts w:ascii="Verdana" w:hAnsi="Verdana"/>
          <w:kern w:val="0"/>
          <w:lang w:eastAsia="zh-CN"/>
        </w:rPr>
        <w:t>Het instrument wordt na uiterlijk 4 jaar geëvalueerd. Dit is ongeveer halverwege het programma. Het kabinet acht dit wenselijk.</w:t>
      </w:r>
    </w:p>
    <w:p w:rsidRPr="00DA19A2" w:rsidR="00CB7FF8" w:rsidP="000970FB" w:rsidRDefault="00CB7FF8" w14:paraId="10D7B8CA" w14:textId="77777777">
      <w:pPr>
        <w:tabs>
          <w:tab w:val="left" w:pos="-284"/>
          <w:tab w:val="left" w:pos="340"/>
          <w:tab w:val="left" w:pos="426"/>
          <w:tab w:val="left" w:pos="680"/>
          <w:tab w:val="left" w:pos="1021"/>
          <w:tab w:val="left" w:pos="1361"/>
        </w:tabs>
        <w:spacing w:line="360" w:lineRule="auto"/>
        <w:jc w:val="both"/>
        <w:rPr>
          <w:rFonts w:ascii="Verdana" w:hAnsi="Verdana"/>
          <w:sz w:val="18"/>
          <w:szCs w:val="18"/>
          <w:u w:val="single"/>
        </w:rPr>
      </w:pPr>
    </w:p>
    <w:p w:rsidRPr="00605154" w:rsidR="00CB7FF8" w:rsidP="000970FB" w:rsidRDefault="00CB7FF8" w14:paraId="3ED8E89C" w14:textId="77777777">
      <w:pPr>
        <w:numPr>
          <w:ilvl w:val="0"/>
          <w:numId w:val="3"/>
        </w:numPr>
        <w:spacing w:line="360" w:lineRule="auto"/>
        <w:jc w:val="both"/>
        <w:rPr>
          <w:rFonts w:ascii="Verdana" w:hAnsi="Verdana"/>
          <w:b/>
          <w:bCs/>
          <w:sz w:val="18"/>
          <w:szCs w:val="18"/>
        </w:rPr>
      </w:pPr>
      <w:r w:rsidRPr="00F50F0C">
        <w:rPr>
          <w:rFonts w:ascii="Verdana" w:hAnsi="Verdana"/>
          <w:b/>
          <w:bCs/>
          <w:sz w:val="18"/>
          <w:szCs w:val="18"/>
        </w:rPr>
        <w:t>Implicaties voor uitvoering en</w:t>
      </w:r>
      <w:r w:rsidRPr="00F50F0C" w:rsidR="007B66D0">
        <w:rPr>
          <w:rFonts w:ascii="Verdana" w:hAnsi="Verdana"/>
          <w:b/>
          <w:bCs/>
          <w:sz w:val="18"/>
          <w:szCs w:val="18"/>
        </w:rPr>
        <w:t>/of</w:t>
      </w:r>
      <w:r w:rsidRPr="00F50F0C">
        <w:rPr>
          <w:rFonts w:ascii="Verdana" w:hAnsi="Verdana"/>
          <w:b/>
          <w:bCs/>
          <w:sz w:val="18"/>
          <w:szCs w:val="18"/>
        </w:rPr>
        <w:t xml:space="preserve"> handhaving</w:t>
      </w:r>
    </w:p>
    <w:p w:rsidRPr="00605154" w:rsidR="002B146C" w:rsidP="000970FB" w:rsidRDefault="002B146C" w14:paraId="111CA846" w14:textId="616957FD">
      <w:pPr>
        <w:spacing w:line="360" w:lineRule="auto"/>
        <w:jc w:val="both"/>
        <w:rPr>
          <w:rFonts w:ascii="Verdana" w:hAnsi="Verdana"/>
          <w:sz w:val="18"/>
          <w:szCs w:val="18"/>
        </w:rPr>
      </w:pPr>
      <w:r w:rsidRPr="00F50F0C">
        <w:rPr>
          <w:rFonts w:ascii="Verdana" w:hAnsi="Verdana"/>
          <w:sz w:val="18"/>
          <w:szCs w:val="18"/>
        </w:rPr>
        <w:t>N.v.t.</w:t>
      </w:r>
    </w:p>
    <w:p w:rsidR="00CB7FF8" w:rsidP="000970FB" w:rsidRDefault="00CB7FF8" w14:paraId="22609099" w14:textId="77777777">
      <w:pPr>
        <w:suppressAutoHyphens/>
        <w:spacing w:line="360" w:lineRule="auto"/>
        <w:jc w:val="both"/>
        <w:rPr>
          <w:rFonts w:ascii="Verdana" w:hAnsi="Verdana"/>
          <w:b/>
          <w:sz w:val="18"/>
          <w:szCs w:val="18"/>
        </w:rPr>
      </w:pPr>
    </w:p>
    <w:p w:rsidRPr="00605154" w:rsidR="00CB7FF8" w:rsidP="000970FB" w:rsidRDefault="00CB7FF8" w14:paraId="6D9814F2" w14:textId="77777777">
      <w:pPr>
        <w:numPr>
          <w:ilvl w:val="0"/>
          <w:numId w:val="3"/>
        </w:numPr>
        <w:spacing w:line="360" w:lineRule="auto"/>
        <w:jc w:val="both"/>
        <w:rPr>
          <w:rFonts w:ascii="Verdana" w:hAnsi="Verdana"/>
          <w:b/>
          <w:bCs/>
          <w:sz w:val="18"/>
          <w:szCs w:val="18"/>
        </w:rPr>
      </w:pPr>
      <w:r w:rsidRPr="00F50F0C">
        <w:rPr>
          <w:rFonts w:ascii="Verdana" w:hAnsi="Verdana"/>
          <w:b/>
          <w:bCs/>
          <w:sz w:val="18"/>
          <w:szCs w:val="18"/>
        </w:rPr>
        <w:t>Implicaties voor ontwikkelingslanden</w:t>
      </w:r>
    </w:p>
    <w:p w:rsidRPr="00605154" w:rsidR="009A3B1D" w:rsidP="000970FB" w:rsidRDefault="002B146C" w14:paraId="7E68802C" w14:textId="3426C972">
      <w:pPr>
        <w:spacing w:line="360" w:lineRule="auto"/>
        <w:jc w:val="both"/>
        <w:rPr>
          <w:rFonts w:ascii="Verdana" w:hAnsi="Verdana"/>
          <w:sz w:val="18"/>
          <w:szCs w:val="18"/>
        </w:rPr>
      </w:pPr>
      <w:r w:rsidRPr="00F50F0C">
        <w:rPr>
          <w:rFonts w:ascii="Verdana" w:hAnsi="Verdana"/>
          <w:sz w:val="18"/>
          <w:szCs w:val="18"/>
        </w:rPr>
        <w:t>Geen.</w:t>
      </w:r>
    </w:p>
    <w:p w:rsidRPr="00ED491C" w:rsidR="00ED491C" w:rsidP="008512E6" w:rsidRDefault="00ED491C" w14:paraId="2BBB8EAD" w14:textId="58FD671F">
      <w:pPr>
        <w:spacing w:line="360" w:lineRule="auto"/>
        <w:jc w:val="both"/>
        <w:rPr>
          <w:rFonts w:ascii="Verdana" w:hAnsi="Verdana"/>
          <w:iCs/>
          <w:sz w:val="18"/>
          <w:szCs w:val="18"/>
        </w:rPr>
      </w:pPr>
    </w:p>
    <w:p w:rsidRPr="00237D41" w:rsidR="007441B5" w:rsidP="000970FB" w:rsidRDefault="007441B5" w14:paraId="67232A7C" w14:textId="77777777">
      <w:pPr>
        <w:ind w:left="360"/>
        <w:jc w:val="both"/>
        <w:rPr>
          <w:sz w:val="18"/>
          <w:szCs w:val="18"/>
        </w:rPr>
      </w:pPr>
    </w:p>
    <w:p w:rsidRPr="0005716C" w:rsidR="009A3B1D" w:rsidP="000970FB" w:rsidRDefault="00BE290B" w14:paraId="4B21D00E" w14:textId="77777777">
      <w:pPr>
        <w:jc w:val="both"/>
        <w:rPr>
          <w:rFonts w:ascii="Verdana" w:hAnsi="Verdana"/>
          <w:sz w:val="18"/>
          <w:szCs w:val="18"/>
        </w:rPr>
      </w:pPr>
      <w:r>
        <w:rPr>
          <w:rFonts w:ascii="Verdana" w:hAnsi="Verdana"/>
          <w:sz w:val="18"/>
          <w:szCs w:val="18"/>
        </w:rPr>
        <w:t xml:space="preserve"> </w:t>
      </w:r>
    </w:p>
    <w:bookmarkEnd w:id="0"/>
    <w:bookmarkEnd w:id="1"/>
    <w:p w:rsidRPr="00DA19A2" w:rsidR="009A3B1D" w:rsidP="000970FB" w:rsidRDefault="009A3B1D" w14:paraId="6B379056" w14:textId="77777777">
      <w:pPr>
        <w:spacing w:line="360" w:lineRule="auto"/>
        <w:jc w:val="both"/>
        <w:rPr>
          <w:rFonts w:ascii="Verdana" w:hAnsi="Verdana"/>
          <w:sz w:val="18"/>
          <w:szCs w:val="18"/>
        </w:rPr>
      </w:pPr>
    </w:p>
    <w:sectPr w:rsidRPr="00DA19A2" w:rsidR="009A3B1D" w:rsidSect="00F50F0C">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9E05" w14:textId="77777777" w:rsidR="00406590" w:rsidRDefault="00406590">
      <w:r>
        <w:separator/>
      </w:r>
    </w:p>
  </w:endnote>
  <w:endnote w:type="continuationSeparator" w:id="0">
    <w:p w14:paraId="081E80CE" w14:textId="77777777" w:rsidR="00406590" w:rsidRDefault="00406590">
      <w:r>
        <w:continuationSeparator/>
      </w:r>
    </w:p>
  </w:endnote>
  <w:endnote w:type="continuationNotice" w:id="1">
    <w:p w14:paraId="57E2C386" w14:textId="77777777" w:rsidR="00406590" w:rsidRDefault="004065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368F5C70"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09E">
      <w:rPr>
        <w:rStyle w:val="PageNumber"/>
        <w:noProof/>
      </w:rPr>
      <w:t>2</w:t>
    </w:r>
    <w:r>
      <w:rPr>
        <w:rStyle w:val="PageNumber"/>
      </w:rPr>
      <w:fldChar w:fldCharType="end"/>
    </w:r>
  </w:p>
  <w:p w14:paraId="3BBF4F64"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85B5" w14:textId="226CD15B"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72F7">
      <w:rPr>
        <w:rStyle w:val="PageNumber"/>
        <w:noProof/>
      </w:rPr>
      <w:t>2</w:t>
    </w:r>
    <w:r>
      <w:rPr>
        <w:rStyle w:val="PageNumber"/>
      </w:rPr>
      <w:fldChar w:fldCharType="end"/>
    </w:r>
  </w:p>
  <w:p w14:paraId="27D74473"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043C" w14:textId="77777777" w:rsidR="005B7800" w:rsidRDefault="005B7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8FDD9" w14:textId="77777777" w:rsidR="00406590" w:rsidRDefault="00406590">
      <w:r>
        <w:separator/>
      </w:r>
    </w:p>
  </w:footnote>
  <w:footnote w:type="continuationSeparator" w:id="0">
    <w:p w14:paraId="0B8095CD" w14:textId="77777777" w:rsidR="00406590" w:rsidRDefault="00406590">
      <w:r>
        <w:continuationSeparator/>
      </w:r>
    </w:p>
  </w:footnote>
  <w:footnote w:type="continuationNotice" w:id="1">
    <w:p w14:paraId="0AAFD065" w14:textId="77777777" w:rsidR="00406590" w:rsidRDefault="00406590">
      <w:pPr>
        <w:spacing w:line="240" w:lineRule="auto"/>
      </w:pPr>
    </w:p>
  </w:footnote>
  <w:footnote w:id="2">
    <w:p w14:paraId="2E306FC9" w14:textId="2F340B89" w:rsidR="006D50EA" w:rsidRPr="000970FB" w:rsidRDefault="006D50EA">
      <w:pPr>
        <w:pStyle w:val="FootnoteText"/>
        <w:rPr>
          <w:rFonts w:ascii="Verdana" w:hAnsi="Verdana"/>
          <w:szCs w:val="16"/>
          <w:lang w:val="fr-FR"/>
        </w:rPr>
      </w:pPr>
      <w:r w:rsidRPr="0061622D">
        <w:rPr>
          <w:rStyle w:val="FootnoteReference"/>
          <w:rFonts w:ascii="Verdana" w:hAnsi="Verdana"/>
          <w:sz w:val="18"/>
          <w:szCs w:val="18"/>
        </w:rPr>
        <w:footnoteRef/>
      </w:r>
      <w:r w:rsidRPr="0061622D">
        <w:rPr>
          <w:rFonts w:ascii="Verdana" w:hAnsi="Verdana"/>
          <w:sz w:val="18"/>
          <w:szCs w:val="18"/>
          <w:lang w:val="fr-FR"/>
        </w:rPr>
        <w:t xml:space="preserve"> </w:t>
      </w:r>
      <w:hyperlink r:id="rId1" w:history="1">
        <w:r w:rsidRPr="000970FB">
          <w:rPr>
            <w:rStyle w:val="Hyperlink"/>
            <w:rFonts w:ascii="Verdana" w:hAnsi="Verdana"/>
            <w:szCs w:val="16"/>
            <w:lang w:val="fr-FR"/>
          </w:rPr>
          <w:t>eur-l</w:t>
        </w:r>
        <w:bookmarkStart w:id="2" w:name="_Hlt208580331"/>
        <w:bookmarkStart w:id="3" w:name="_Hlt208580332"/>
        <w:r w:rsidRPr="000970FB">
          <w:rPr>
            <w:rStyle w:val="Hyperlink"/>
            <w:rFonts w:ascii="Verdana" w:hAnsi="Verdana"/>
            <w:szCs w:val="16"/>
            <w:lang w:val="fr-FR"/>
          </w:rPr>
          <w:t>e</w:t>
        </w:r>
        <w:bookmarkEnd w:id="2"/>
        <w:bookmarkEnd w:id="3"/>
        <w:r w:rsidRPr="000970FB">
          <w:rPr>
            <w:rStyle w:val="Hyperlink"/>
            <w:rFonts w:ascii="Verdana" w:hAnsi="Verdana"/>
            <w:szCs w:val="16"/>
            <w:lang w:val="fr-FR"/>
          </w:rPr>
          <w:t>x.europa.eu/legal-content/EN/TXT/PDF/?uri=CELEX:52025DC0570</w:t>
        </w:r>
      </w:hyperlink>
    </w:p>
  </w:footnote>
  <w:footnote w:id="3">
    <w:p w14:paraId="22752BDC" w14:textId="79F54557" w:rsidR="006D50EA" w:rsidRPr="0061622D" w:rsidRDefault="006D50EA">
      <w:pPr>
        <w:pStyle w:val="FootnoteText"/>
        <w:rPr>
          <w:rFonts w:ascii="Verdana" w:hAnsi="Verdana"/>
          <w:sz w:val="18"/>
          <w:szCs w:val="18"/>
          <w:lang w:val="fr-FR"/>
        </w:rPr>
      </w:pPr>
      <w:r w:rsidRPr="000970FB">
        <w:rPr>
          <w:rStyle w:val="FootnoteReference"/>
          <w:rFonts w:ascii="Verdana" w:hAnsi="Verdana"/>
          <w:szCs w:val="16"/>
        </w:rPr>
        <w:footnoteRef/>
      </w:r>
      <w:r w:rsidRPr="000970FB">
        <w:rPr>
          <w:rFonts w:ascii="Verdana" w:hAnsi="Verdana"/>
          <w:szCs w:val="16"/>
          <w:lang w:val="fr-FR"/>
        </w:rPr>
        <w:t xml:space="preserve"> </w:t>
      </w:r>
      <w:r w:rsidR="00D26950">
        <w:fldChar w:fldCharType="begin"/>
      </w:r>
      <w:r w:rsidR="00D26950" w:rsidRPr="005B7800">
        <w:rPr>
          <w:lang w:val="fr-FR"/>
        </w:rPr>
        <w:instrText>HYPERLINK "https://eur-lex.europa.eu/legal-content/NL/TXT/PDF/?uri=CELEX:32021D1764"</w:instrText>
      </w:r>
      <w:r w:rsidR="00D26950">
        <w:fldChar w:fldCharType="separate"/>
      </w:r>
      <w:r w:rsidR="00D26950" w:rsidRPr="000970FB">
        <w:rPr>
          <w:rStyle w:val="Hyperlink"/>
          <w:rFonts w:ascii="Verdana" w:hAnsi="Verdana"/>
          <w:szCs w:val="16"/>
          <w:lang w:val="fr-FR"/>
        </w:rPr>
        <w:t>https://eur-lex.europa.eu/legal-content/NL/TXT/PDF/?uri=CELEX:32021D1764</w:t>
      </w:r>
      <w:r w:rsidR="00D26950">
        <w:fldChar w:fldCharType="end"/>
      </w:r>
      <w:r w:rsidR="00D26950" w:rsidRPr="0061622D">
        <w:rPr>
          <w:rFonts w:ascii="Verdana" w:hAnsi="Verdana"/>
          <w:sz w:val="18"/>
          <w:szCs w:val="18"/>
          <w:lang w:val="fr-FR"/>
        </w:rPr>
        <w:t xml:space="preserve"> </w:t>
      </w:r>
    </w:p>
  </w:footnote>
  <w:footnote w:id="4">
    <w:p w14:paraId="49B0D035" w14:textId="6A39D8DC" w:rsidR="008D6AE4" w:rsidRPr="000970FB" w:rsidRDefault="008D6AE4" w:rsidP="0061622D">
      <w:pPr>
        <w:rPr>
          <w:rFonts w:ascii="Verdana" w:hAnsi="Verdana"/>
          <w:sz w:val="16"/>
          <w:szCs w:val="16"/>
        </w:rPr>
      </w:pPr>
      <w:r w:rsidRPr="0061622D">
        <w:rPr>
          <w:rStyle w:val="FootnoteReference"/>
          <w:rFonts w:ascii="Verdana" w:hAnsi="Verdana"/>
          <w:sz w:val="18"/>
          <w:szCs w:val="18"/>
        </w:rPr>
        <w:footnoteRef/>
      </w:r>
      <w:r w:rsidRPr="0061622D">
        <w:rPr>
          <w:rStyle w:val="FootnoteReference"/>
          <w:rFonts w:ascii="Verdana" w:hAnsi="Verdana"/>
          <w:sz w:val="18"/>
          <w:szCs w:val="18"/>
        </w:rPr>
        <w:t xml:space="preserve"> </w:t>
      </w:r>
      <w:r w:rsidR="006418B7" w:rsidRPr="000970FB">
        <w:rPr>
          <w:rFonts w:ascii="Verdana" w:hAnsi="Verdana"/>
          <w:sz w:val="16"/>
          <w:szCs w:val="16"/>
        </w:rPr>
        <w:t xml:space="preserve">De </w:t>
      </w:r>
      <w:r w:rsidR="003B3CFD" w:rsidRPr="000970FB">
        <w:rPr>
          <w:rFonts w:ascii="Verdana" w:hAnsi="Verdana"/>
          <w:sz w:val="16"/>
          <w:szCs w:val="16"/>
        </w:rPr>
        <w:t>UPG-status is een alternatief van de LGO-status. De kern van de UPG-status is dat, in tegenstelling tot de LGO-status, het Europees recht in beginsel volledig van kracht is.</w:t>
      </w:r>
    </w:p>
  </w:footnote>
  <w:footnote w:id="5">
    <w:p w14:paraId="69DF5A0B" w14:textId="77777777" w:rsidR="005130BD" w:rsidRPr="000054E1" w:rsidRDefault="005130BD" w:rsidP="005130BD">
      <w:pPr>
        <w:pStyle w:val="FootnoteText"/>
        <w:rPr>
          <w:rFonts w:ascii="Verdana" w:hAnsi="Verdana"/>
          <w:sz w:val="18"/>
          <w:szCs w:val="18"/>
        </w:rPr>
      </w:pPr>
      <w:r w:rsidRPr="000970FB">
        <w:rPr>
          <w:rStyle w:val="FootnoteReference"/>
          <w:rFonts w:ascii="Verdana" w:hAnsi="Verdana"/>
          <w:szCs w:val="16"/>
        </w:rPr>
        <w:footnoteRef/>
      </w:r>
      <w:r w:rsidRPr="000970FB">
        <w:rPr>
          <w:rFonts w:ascii="Verdana" w:hAnsi="Verdana"/>
          <w:szCs w:val="16"/>
        </w:rPr>
        <w:t xml:space="preserve"> Kamerstuk 22 112, nr. 4153</w:t>
      </w:r>
    </w:p>
  </w:footnote>
  <w:footnote w:id="6">
    <w:p w14:paraId="0AD400B8" w14:textId="31023FEB" w:rsidR="001D7BAF" w:rsidRPr="000970FB" w:rsidRDefault="006D50EA" w:rsidP="004B2FB4">
      <w:pPr>
        <w:pStyle w:val="FootnoteText"/>
        <w:rPr>
          <w:rFonts w:ascii="Verdana" w:hAnsi="Verdana"/>
          <w:szCs w:val="16"/>
        </w:rPr>
      </w:pPr>
      <w:r w:rsidRPr="000970FB">
        <w:rPr>
          <w:rStyle w:val="FootnoteReference"/>
          <w:rFonts w:ascii="Verdana" w:hAnsi="Verdana"/>
          <w:szCs w:val="16"/>
        </w:rPr>
        <w:footnoteRef/>
      </w:r>
      <w:r w:rsidRPr="000970FB">
        <w:rPr>
          <w:rFonts w:ascii="Verdana" w:hAnsi="Verdana"/>
          <w:szCs w:val="16"/>
        </w:rPr>
        <w:t xml:space="preserve"> </w:t>
      </w:r>
      <w:hyperlink r:id="rId2" w:history="1">
        <w:r w:rsidR="001D7BAF" w:rsidRPr="00971598">
          <w:rPr>
            <w:rStyle w:val="Hyperlink"/>
            <w:rFonts w:ascii="Verdana" w:hAnsi="Verdana"/>
            <w:szCs w:val="16"/>
          </w:rPr>
          <w:t>https://commission.europa.eu/publications/overseas-association-including-greenland_en</w:t>
        </w:r>
      </w:hyperlink>
    </w:p>
  </w:footnote>
  <w:footnote w:id="7">
    <w:p w14:paraId="21D1C91D" w14:textId="3F6D07B2" w:rsidR="006D50EA" w:rsidRPr="000970FB" w:rsidRDefault="006D50EA">
      <w:pPr>
        <w:pStyle w:val="FootnoteText"/>
        <w:rPr>
          <w:rFonts w:ascii="Verdana" w:hAnsi="Verdana"/>
          <w:szCs w:val="16"/>
          <w:lang w:val="fr-FR"/>
        </w:rPr>
      </w:pPr>
      <w:r w:rsidRPr="000970FB">
        <w:rPr>
          <w:rStyle w:val="FootnoteReference"/>
          <w:rFonts w:ascii="Verdana" w:hAnsi="Verdana"/>
          <w:szCs w:val="16"/>
        </w:rPr>
        <w:footnoteRef/>
      </w:r>
      <w:r w:rsidR="004B2FB4" w:rsidRPr="000970FB">
        <w:rPr>
          <w:rFonts w:ascii="Verdana" w:hAnsi="Verdana"/>
          <w:szCs w:val="16"/>
          <w:lang w:val="fr-FR"/>
        </w:rPr>
        <w:t xml:space="preserve"> </w:t>
      </w:r>
      <w:r w:rsidR="00242246">
        <w:fldChar w:fldCharType="begin"/>
      </w:r>
      <w:r w:rsidR="00242246" w:rsidRPr="005B7800">
        <w:rPr>
          <w:lang w:val="fr-FR"/>
        </w:rPr>
        <w:instrText>HYPERLINK "https://eur-lex.europa.eu/legal-content/EN/TXT/PDF/?uri=CELEX:52024DC0208"</w:instrText>
      </w:r>
      <w:r w:rsidR="00242246">
        <w:fldChar w:fldCharType="separate"/>
      </w:r>
      <w:r w:rsidR="00242246" w:rsidRPr="000970FB">
        <w:rPr>
          <w:rStyle w:val="Hyperlink"/>
          <w:rFonts w:ascii="Verdana" w:hAnsi="Verdana"/>
          <w:szCs w:val="16"/>
          <w:lang w:val="fr-FR"/>
        </w:rPr>
        <w:t>eur-lex.europa.eu/legal-content/EN/TXT/PDF/?uri=CELEX:52024DC0208</w:t>
      </w:r>
      <w:r w:rsidR="00242246">
        <w:fldChar w:fldCharType="end"/>
      </w:r>
    </w:p>
  </w:footnote>
  <w:footnote w:id="8">
    <w:p w14:paraId="0281E71D" w14:textId="41C4758D" w:rsidR="004B2FB4" w:rsidRDefault="004B2FB4">
      <w:pPr>
        <w:pStyle w:val="FootnoteText"/>
      </w:pPr>
      <w:r w:rsidRPr="000970FB">
        <w:rPr>
          <w:rStyle w:val="FootnoteReference"/>
          <w:rFonts w:ascii="Verdana" w:hAnsi="Verdana"/>
          <w:szCs w:val="16"/>
        </w:rPr>
        <w:footnoteRef/>
      </w:r>
      <w:r w:rsidRPr="000970FB">
        <w:rPr>
          <w:rFonts w:ascii="Verdana" w:hAnsi="Verdana"/>
          <w:szCs w:val="16"/>
        </w:rPr>
        <w:t xml:space="preserve"> </w:t>
      </w:r>
      <w:hyperlink r:id="rId3" w:history="1">
        <w:r w:rsidRPr="000970FB">
          <w:rPr>
            <w:rStyle w:val="Hyperlink"/>
            <w:rFonts w:ascii="Verdana" w:hAnsi="Verdana"/>
            <w:szCs w:val="16"/>
          </w:rPr>
          <w:t>Kamerbrief Nederlandse inzet onderhandelingen MFK 2028 | Kamerstuk | Rijksoverheid.nl</w:t>
        </w:r>
      </w:hyperlink>
    </w:p>
  </w:footnote>
  <w:footnote w:id="9">
    <w:p w14:paraId="64E9D4B5" w14:textId="4BF84E5F" w:rsidR="00167E12" w:rsidRPr="000970FB" w:rsidRDefault="00167E12">
      <w:pPr>
        <w:pStyle w:val="FootnoteText"/>
        <w:rPr>
          <w:rFonts w:ascii="Verdana" w:hAnsi="Verdana"/>
          <w:szCs w:val="16"/>
        </w:rPr>
      </w:pPr>
      <w:r w:rsidRPr="000970FB">
        <w:rPr>
          <w:rStyle w:val="FootnoteReference"/>
          <w:rFonts w:ascii="Verdana" w:hAnsi="Verdana"/>
          <w:szCs w:val="16"/>
        </w:rPr>
        <w:footnoteRef/>
      </w:r>
      <w:r w:rsidRPr="000970FB">
        <w:rPr>
          <w:rFonts w:ascii="Verdana" w:hAnsi="Verdana"/>
          <w:szCs w:val="16"/>
        </w:rPr>
        <w:t xml:space="preserve"> Interreg is een Europese subsidieregeling voor ruimtelijke en regionale ontwikkeling.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03E8" w14:textId="77777777" w:rsidR="005B7800" w:rsidRDefault="005B7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0D67" w14:textId="77777777" w:rsidR="005B7800" w:rsidRDefault="005B78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FB8C" w14:textId="77777777" w:rsidR="005B7800" w:rsidRDefault="005B7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FD3EF0"/>
    <w:multiLevelType w:val="hybridMultilevel"/>
    <w:tmpl w:val="91ECA642"/>
    <w:lvl w:ilvl="0" w:tplc="A0FA0D1C">
      <w:start w:val="1"/>
      <w:numFmt w:val="bullet"/>
      <w:lvlText w:val=""/>
      <w:lvlJc w:val="left"/>
      <w:pPr>
        <w:ind w:left="1440" w:hanging="360"/>
      </w:pPr>
      <w:rPr>
        <w:rFonts w:ascii="Symbol" w:hAnsi="Symbol"/>
      </w:rPr>
    </w:lvl>
    <w:lvl w:ilvl="1" w:tplc="3412F5DE">
      <w:start w:val="1"/>
      <w:numFmt w:val="bullet"/>
      <w:lvlText w:val=""/>
      <w:lvlJc w:val="left"/>
      <w:pPr>
        <w:ind w:left="1440" w:hanging="360"/>
      </w:pPr>
      <w:rPr>
        <w:rFonts w:ascii="Symbol" w:hAnsi="Symbol"/>
      </w:rPr>
    </w:lvl>
    <w:lvl w:ilvl="2" w:tplc="D716051C">
      <w:start w:val="1"/>
      <w:numFmt w:val="bullet"/>
      <w:lvlText w:val=""/>
      <w:lvlJc w:val="left"/>
      <w:pPr>
        <w:ind w:left="1440" w:hanging="360"/>
      </w:pPr>
      <w:rPr>
        <w:rFonts w:ascii="Symbol" w:hAnsi="Symbol"/>
      </w:rPr>
    </w:lvl>
    <w:lvl w:ilvl="3" w:tplc="6C0EDD32">
      <w:start w:val="1"/>
      <w:numFmt w:val="bullet"/>
      <w:lvlText w:val=""/>
      <w:lvlJc w:val="left"/>
      <w:pPr>
        <w:ind w:left="1440" w:hanging="360"/>
      </w:pPr>
      <w:rPr>
        <w:rFonts w:ascii="Symbol" w:hAnsi="Symbol"/>
      </w:rPr>
    </w:lvl>
    <w:lvl w:ilvl="4" w:tplc="873A6182">
      <w:start w:val="1"/>
      <w:numFmt w:val="bullet"/>
      <w:lvlText w:val=""/>
      <w:lvlJc w:val="left"/>
      <w:pPr>
        <w:ind w:left="1440" w:hanging="360"/>
      </w:pPr>
      <w:rPr>
        <w:rFonts w:ascii="Symbol" w:hAnsi="Symbol"/>
      </w:rPr>
    </w:lvl>
    <w:lvl w:ilvl="5" w:tplc="452ADF14">
      <w:start w:val="1"/>
      <w:numFmt w:val="bullet"/>
      <w:lvlText w:val=""/>
      <w:lvlJc w:val="left"/>
      <w:pPr>
        <w:ind w:left="1440" w:hanging="360"/>
      </w:pPr>
      <w:rPr>
        <w:rFonts w:ascii="Symbol" w:hAnsi="Symbol"/>
      </w:rPr>
    </w:lvl>
    <w:lvl w:ilvl="6" w:tplc="B11E44EE">
      <w:start w:val="1"/>
      <w:numFmt w:val="bullet"/>
      <w:lvlText w:val=""/>
      <w:lvlJc w:val="left"/>
      <w:pPr>
        <w:ind w:left="1440" w:hanging="360"/>
      </w:pPr>
      <w:rPr>
        <w:rFonts w:ascii="Symbol" w:hAnsi="Symbol"/>
      </w:rPr>
    </w:lvl>
    <w:lvl w:ilvl="7" w:tplc="E12AA126">
      <w:start w:val="1"/>
      <w:numFmt w:val="bullet"/>
      <w:lvlText w:val=""/>
      <w:lvlJc w:val="left"/>
      <w:pPr>
        <w:ind w:left="1440" w:hanging="360"/>
      </w:pPr>
      <w:rPr>
        <w:rFonts w:ascii="Symbol" w:hAnsi="Symbol"/>
      </w:rPr>
    </w:lvl>
    <w:lvl w:ilvl="8" w:tplc="9558D898">
      <w:start w:val="1"/>
      <w:numFmt w:val="bullet"/>
      <w:lvlText w:val=""/>
      <w:lvlJc w:val="left"/>
      <w:pPr>
        <w:ind w:left="1440" w:hanging="360"/>
      </w:pPr>
      <w:rPr>
        <w:rFonts w:ascii="Symbol" w:hAnsi="Symbol"/>
      </w:rPr>
    </w:lvl>
  </w:abstractNum>
  <w:abstractNum w:abstractNumId="3"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7"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8A42CE4"/>
    <w:multiLevelType w:val="hybridMultilevel"/>
    <w:tmpl w:val="19D670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03445220">
    <w:abstractNumId w:val="6"/>
  </w:num>
  <w:num w:numId="2" w16cid:durableId="775755783">
    <w:abstractNumId w:val="1"/>
  </w:num>
  <w:num w:numId="3" w16cid:durableId="1653025109">
    <w:abstractNumId w:val="12"/>
  </w:num>
  <w:num w:numId="4" w16cid:durableId="1417248447">
    <w:abstractNumId w:val="7"/>
  </w:num>
  <w:num w:numId="5" w16cid:durableId="1959290172">
    <w:abstractNumId w:val="9"/>
  </w:num>
  <w:num w:numId="6" w16cid:durableId="1273169175">
    <w:abstractNumId w:val="4"/>
  </w:num>
  <w:num w:numId="7" w16cid:durableId="412549978">
    <w:abstractNumId w:val="3"/>
  </w:num>
  <w:num w:numId="8" w16cid:durableId="1029380741">
    <w:abstractNumId w:val="10"/>
  </w:num>
  <w:num w:numId="9" w16cid:durableId="985016109">
    <w:abstractNumId w:val="5"/>
  </w:num>
  <w:num w:numId="10" w16cid:durableId="778338141">
    <w:abstractNumId w:val="0"/>
  </w:num>
  <w:num w:numId="11" w16cid:durableId="650795325">
    <w:abstractNumId w:val="8"/>
  </w:num>
  <w:num w:numId="12" w16cid:durableId="1536234631">
    <w:abstractNumId w:val="2"/>
  </w:num>
  <w:num w:numId="13" w16cid:durableId="123466304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54E1"/>
    <w:rsid w:val="00007492"/>
    <w:rsid w:val="00011B21"/>
    <w:rsid w:val="00016D97"/>
    <w:rsid w:val="00021406"/>
    <w:rsid w:val="00022FA4"/>
    <w:rsid w:val="000250E9"/>
    <w:rsid w:val="000367BB"/>
    <w:rsid w:val="00041294"/>
    <w:rsid w:val="00045161"/>
    <w:rsid w:val="000457F3"/>
    <w:rsid w:val="0005427D"/>
    <w:rsid w:val="0005603A"/>
    <w:rsid w:val="0005716C"/>
    <w:rsid w:val="00071341"/>
    <w:rsid w:val="00072BDD"/>
    <w:rsid w:val="00076EDE"/>
    <w:rsid w:val="00076FB9"/>
    <w:rsid w:val="00077097"/>
    <w:rsid w:val="000970FB"/>
    <w:rsid w:val="000A39A4"/>
    <w:rsid w:val="000B2258"/>
    <w:rsid w:val="000C4244"/>
    <w:rsid w:val="000D41ED"/>
    <w:rsid w:val="000D4EC2"/>
    <w:rsid w:val="000E1F75"/>
    <w:rsid w:val="000E601C"/>
    <w:rsid w:val="001072C7"/>
    <w:rsid w:val="00107A7F"/>
    <w:rsid w:val="001118F5"/>
    <w:rsid w:val="0011207F"/>
    <w:rsid w:val="0013413E"/>
    <w:rsid w:val="00142628"/>
    <w:rsid w:val="001648CB"/>
    <w:rsid w:val="00164DAA"/>
    <w:rsid w:val="00164E64"/>
    <w:rsid w:val="001660F5"/>
    <w:rsid w:val="00167E12"/>
    <w:rsid w:val="00172364"/>
    <w:rsid w:val="00180AFE"/>
    <w:rsid w:val="0018227F"/>
    <w:rsid w:val="00192FAF"/>
    <w:rsid w:val="00194E8B"/>
    <w:rsid w:val="001A303D"/>
    <w:rsid w:val="001B0FC9"/>
    <w:rsid w:val="001C1BCC"/>
    <w:rsid w:val="001C5329"/>
    <w:rsid w:val="001D6ACB"/>
    <w:rsid w:val="001D76DE"/>
    <w:rsid w:val="001D7BAF"/>
    <w:rsid w:val="001E7161"/>
    <w:rsid w:val="001F231B"/>
    <w:rsid w:val="001F7116"/>
    <w:rsid w:val="00211FED"/>
    <w:rsid w:val="00214630"/>
    <w:rsid w:val="0021593A"/>
    <w:rsid w:val="002162E5"/>
    <w:rsid w:val="00220B61"/>
    <w:rsid w:val="00226B47"/>
    <w:rsid w:val="00237545"/>
    <w:rsid w:val="00237D41"/>
    <w:rsid w:val="00242246"/>
    <w:rsid w:val="00246747"/>
    <w:rsid w:val="00256A6C"/>
    <w:rsid w:val="00257561"/>
    <w:rsid w:val="00257C56"/>
    <w:rsid w:val="00263468"/>
    <w:rsid w:val="0028660D"/>
    <w:rsid w:val="00287740"/>
    <w:rsid w:val="002B146C"/>
    <w:rsid w:val="002B1565"/>
    <w:rsid w:val="002B4FA1"/>
    <w:rsid w:val="002B6B2E"/>
    <w:rsid w:val="002B76EC"/>
    <w:rsid w:val="002C3954"/>
    <w:rsid w:val="002D0844"/>
    <w:rsid w:val="002D7BCD"/>
    <w:rsid w:val="002E2CCC"/>
    <w:rsid w:val="002E3953"/>
    <w:rsid w:val="002E5174"/>
    <w:rsid w:val="002F2E18"/>
    <w:rsid w:val="002F38E5"/>
    <w:rsid w:val="0031232E"/>
    <w:rsid w:val="00313255"/>
    <w:rsid w:val="00320A0E"/>
    <w:rsid w:val="00330FE7"/>
    <w:rsid w:val="00353FA7"/>
    <w:rsid w:val="0037596E"/>
    <w:rsid w:val="00391306"/>
    <w:rsid w:val="003936B2"/>
    <w:rsid w:val="003A2079"/>
    <w:rsid w:val="003A2FD8"/>
    <w:rsid w:val="003B251F"/>
    <w:rsid w:val="003B3CFD"/>
    <w:rsid w:val="003B46F3"/>
    <w:rsid w:val="003D723B"/>
    <w:rsid w:val="003E6A53"/>
    <w:rsid w:val="003F60A6"/>
    <w:rsid w:val="00401E2B"/>
    <w:rsid w:val="004052F8"/>
    <w:rsid w:val="00406590"/>
    <w:rsid w:val="004342F9"/>
    <w:rsid w:val="0044138B"/>
    <w:rsid w:val="00443A76"/>
    <w:rsid w:val="00450EF3"/>
    <w:rsid w:val="004669C8"/>
    <w:rsid w:val="00470FFF"/>
    <w:rsid w:val="00480703"/>
    <w:rsid w:val="00483C06"/>
    <w:rsid w:val="004903BC"/>
    <w:rsid w:val="00494989"/>
    <w:rsid w:val="004B0A81"/>
    <w:rsid w:val="004B2FB4"/>
    <w:rsid w:val="004D5DEC"/>
    <w:rsid w:val="004E6B39"/>
    <w:rsid w:val="004F4017"/>
    <w:rsid w:val="00500B93"/>
    <w:rsid w:val="005130BD"/>
    <w:rsid w:val="00514FCE"/>
    <w:rsid w:val="00524BA9"/>
    <w:rsid w:val="00527EED"/>
    <w:rsid w:val="00536E36"/>
    <w:rsid w:val="00541F6E"/>
    <w:rsid w:val="00543E94"/>
    <w:rsid w:val="00545272"/>
    <w:rsid w:val="0055608F"/>
    <w:rsid w:val="00563002"/>
    <w:rsid w:val="005818DA"/>
    <w:rsid w:val="005833B8"/>
    <w:rsid w:val="005916BA"/>
    <w:rsid w:val="005B5890"/>
    <w:rsid w:val="005B7800"/>
    <w:rsid w:val="005C1F3D"/>
    <w:rsid w:val="005C2BBF"/>
    <w:rsid w:val="005C6340"/>
    <w:rsid w:val="005C7DE3"/>
    <w:rsid w:val="005D4DB0"/>
    <w:rsid w:val="005E3CCE"/>
    <w:rsid w:val="005E56B2"/>
    <w:rsid w:val="0060290D"/>
    <w:rsid w:val="006034CD"/>
    <w:rsid w:val="006048D4"/>
    <w:rsid w:val="00605154"/>
    <w:rsid w:val="00613FC2"/>
    <w:rsid w:val="0061622D"/>
    <w:rsid w:val="006276DD"/>
    <w:rsid w:val="00632704"/>
    <w:rsid w:val="006406D1"/>
    <w:rsid w:val="006418B7"/>
    <w:rsid w:val="00642410"/>
    <w:rsid w:val="00654394"/>
    <w:rsid w:val="0067011E"/>
    <w:rsid w:val="00671A44"/>
    <w:rsid w:val="00675AE5"/>
    <w:rsid w:val="00692037"/>
    <w:rsid w:val="006B26E5"/>
    <w:rsid w:val="006C185D"/>
    <w:rsid w:val="006C4AA5"/>
    <w:rsid w:val="006D50EA"/>
    <w:rsid w:val="006D6D21"/>
    <w:rsid w:val="006F0E63"/>
    <w:rsid w:val="00707C49"/>
    <w:rsid w:val="0071092B"/>
    <w:rsid w:val="00721F0D"/>
    <w:rsid w:val="00735FCC"/>
    <w:rsid w:val="007368B8"/>
    <w:rsid w:val="00736BAA"/>
    <w:rsid w:val="007441B5"/>
    <w:rsid w:val="0075266E"/>
    <w:rsid w:val="0079609A"/>
    <w:rsid w:val="007B66D0"/>
    <w:rsid w:val="007B7D36"/>
    <w:rsid w:val="007C2240"/>
    <w:rsid w:val="007C7466"/>
    <w:rsid w:val="007D11B8"/>
    <w:rsid w:val="007D2CC3"/>
    <w:rsid w:val="007D76D5"/>
    <w:rsid w:val="007E0CD8"/>
    <w:rsid w:val="007E42E4"/>
    <w:rsid w:val="007F0264"/>
    <w:rsid w:val="008044CB"/>
    <w:rsid w:val="00814D40"/>
    <w:rsid w:val="00826C9F"/>
    <w:rsid w:val="008471EB"/>
    <w:rsid w:val="008512E6"/>
    <w:rsid w:val="0086004C"/>
    <w:rsid w:val="00861C99"/>
    <w:rsid w:val="008763C1"/>
    <w:rsid w:val="00880CBF"/>
    <w:rsid w:val="008860BB"/>
    <w:rsid w:val="0089054D"/>
    <w:rsid w:val="00891D54"/>
    <w:rsid w:val="008921B7"/>
    <w:rsid w:val="00894854"/>
    <w:rsid w:val="008A6260"/>
    <w:rsid w:val="008B1A6D"/>
    <w:rsid w:val="008C1E1C"/>
    <w:rsid w:val="008D6AE4"/>
    <w:rsid w:val="008E0483"/>
    <w:rsid w:val="008E1384"/>
    <w:rsid w:val="008E2FC7"/>
    <w:rsid w:val="008F1414"/>
    <w:rsid w:val="00917B66"/>
    <w:rsid w:val="00927F7B"/>
    <w:rsid w:val="00960DF6"/>
    <w:rsid w:val="009610CD"/>
    <w:rsid w:val="0096342F"/>
    <w:rsid w:val="00963E2B"/>
    <w:rsid w:val="0096661A"/>
    <w:rsid w:val="00975217"/>
    <w:rsid w:val="00981DCC"/>
    <w:rsid w:val="00991800"/>
    <w:rsid w:val="009929BE"/>
    <w:rsid w:val="00993829"/>
    <w:rsid w:val="009940F1"/>
    <w:rsid w:val="009A3B1D"/>
    <w:rsid w:val="009A48A0"/>
    <w:rsid w:val="009B207A"/>
    <w:rsid w:val="009B4D0D"/>
    <w:rsid w:val="009C6827"/>
    <w:rsid w:val="009D5AB9"/>
    <w:rsid w:val="009D5C54"/>
    <w:rsid w:val="009E5944"/>
    <w:rsid w:val="009F44E8"/>
    <w:rsid w:val="009F67FC"/>
    <w:rsid w:val="00A03A16"/>
    <w:rsid w:val="00A07A94"/>
    <w:rsid w:val="00A13772"/>
    <w:rsid w:val="00A15B58"/>
    <w:rsid w:val="00A37EB7"/>
    <w:rsid w:val="00A46EDB"/>
    <w:rsid w:val="00A50164"/>
    <w:rsid w:val="00A6129F"/>
    <w:rsid w:val="00A80357"/>
    <w:rsid w:val="00AA34A7"/>
    <w:rsid w:val="00AA6C84"/>
    <w:rsid w:val="00AC56B1"/>
    <w:rsid w:val="00AD16B4"/>
    <w:rsid w:val="00AD1CD7"/>
    <w:rsid w:val="00AE1D96"/>
    <w:rsid w:val="00AE724D"/>
    <w:rsid w:val="00AE735B"/>
    <w:rsid w:val="00AF24A7"/>
    <w:rsid w:val="00AF396C"/>
    <w:rsid w:val="00B00305"/>
    <w:rsid w:val="00B05FC0"/>
    <w:rsid w:val="00B07270"/>
    <w:rsid w:val="00B14D7A"/>
    <w:rsid w:val="00B15836"/>
    <w:rsid w:val="00B27A3E"/>
    <w:rsid w:val="00B31E46"/>
    <w:rsid w:val="00B538E7"/>
    <w:rsid w:val="00B563F5"/>
    <w:rsid w:val="00B57B4F"/>
    <w:rsid w:val="00B846AA"/>
    <w:rsid w:val="00B9558C"/>
    <w:rsid w:val="00BA351C"/>
    <w:rsid w:val="00BA46AB"/>
    <w:rsid w:val="00BA4E98"/>
    <w:rsid w:val="00BB0A19"/>
    <w:rsid w:val="00BB190B"/>
    <w:rsid w:val="00BC2368"/>
    <w:rsid w:val="00BC3894"/>
    <w:rsid w:val="00BE0150"/>
    <w:rsid w:val="00BE1412"/>
    <w:rsid w:val="00BE290B"/>
    <w:rsid w:val="00BE7A8F"/>
    <w:rsid w:val="00C02AA3"/>
    <w:rsid w:val="00C10D67"/>
    <w:rsid w:val="00C135F2"/>
    <w:rsid w:val="00C165FB"/>
    <w:rsid w:val="00C25364"/>
    <w:rsid w:val="00C31DFE"/>
    <w:rsid w:val="00C37BEA"/>
    <w:rsid w:val="00C5102C"/>
    <w:rsid w:val="00C5437A"/>
    <w:rsid w:val="00C7444C"/>
    <w:rsid w:val="00C749D1"/>
    <w:rsid w:val="00C85F76"/>
    <w:rsid w:val="00C91262"/>
    <w:rsid w:val="00CA1199"/>
    <w:rsid w:val="00CA5EBF"/>
    <w:rsid w:val="00CA7091"/>
    <w:rsid w:val="00CB42BA"/>
    <w:rsid w:val="00CB7AFB"/>
    <w:rsid w:val="00CB7FF8"/>
    <w:rsid w:val="00CC105B"/>
    <w:rsid w:val="00CC279C"/>
    <w:rsid w:val="00CC533E"/>
    <w:rsid w:val="00CC7FB9"/>
    <w:rsid w:val="00CD3E10"/>
    <w:rsid w:val="00CE72F7"/>
    <w:rsid w:val="00CF07F8"/>
    <w:rsid w:val="00CF4814"/>
    <w:rsid w:val="00D04314"/>
    <w:rsid w:val="00D16B79"/>
    <w:rsid w:val="00D212B0"/>
    <w:rsid w:val="00D218F9"/>
    <w:rsid w:val="00D22A12"/>
    <w:rsid w:val="00D26950"/>
    <w:rsid w:val="00D35266"/>
    <w:rsid w:val="00D45DCF"/>
    <w:rsid w:val="00D85137"/>
    <w:rsid w:val="00D85808"/>
    <w:rsid w:val="00DA1708"/>
    <w:rsid w:val="00DA19A2"/>
    <w:rsid w:val="00DA5DD8"/>
    <w:rsid w:val="00DB17C0"/>
    <w:rsid w:val="00DD2E8E"/>
    <w:rsid w:val="00DD3F3E"/>
    <w:rsid w:val="00DE0BA6"/>
    <w:rsid w:val="00DE60C8"/>
    <w:rsid w:val="00DE78C8"/>
    <w:rsid w:val="00DF6A93"/>
    <w:rsid w:val="00E03617"/>
    <w:rsid w:val="00E138A5"/>
    <w:rsid w:val="00E14189"/>
    <w:rsid w:val="00E21729"/>
    <w:rsid w:val="00E26089"/>
    <w:rsid w:val="00E3509E"/>
    <w:rsid w:val="00E4289F"/>
    <w:rsid w:val="00E44F79"/>
    <w:rsid w:val="00E478FD"/>
    <w:rsid w:val="00E539A8"/>
    <w:rsid w:val="00E70EF9"/>
    <w:rsid w:val="00E81F91"/>
    <w:rsid w:val="00E91D47"/>
    <w:rsid w:val="00E92833"/>
    <w:rsid w:val="00EA2294"/>
    <w:rsid w:val="00EA4CDE"/>
    <w:rsid w:val="00EB3A2B"/>
    <w:rsid w:val="00EB777D"/>
    <w:rsid w:val="00ED351B"/>
    <w:rsid w:val="00ED491C"/>
    <w:rsid w:val="00ED5BAE"/>
    <w:rsid w:val="00EE17F9"/>
    <w:rsid w:val="00EE2F25"/>
    <w:rsid w:val="00EE300E"/>
    <w:rsid w:val="00EF250B"/>
    <w:rsid w:val="00EF2981"/>
    <w:rsid w:val="00F00B91"/>
    <w:rsid w:val="00F27199"/>
    <w:rsid w:val="00F30C33"/>
    <w:rsid w:val="00F431C3"/>
    <w:rsid w:val="00F50F0C"/>
    <w:rsid w:val="00F54064"/>
    <w:rsid w:val="00F5468C"/>
    <w:rsid w:val="00F55A1B"/>
    <w:rsid w:val="00F723E4"/>
    <w:rsid w:val="00F741C4"/>
    <w:rsid w:val="00F74E07"/>
    <w:rsid w:val="00F85D29"/>
    <w:rsid w:val="00F878CF"/>
    <w:rsid w:val="00F936B2"/>
    <w:rsid w:val="00F97668"/>
    <w:rsid w:val="00FA65F2"/>
    <w:rsid w:val="00FC3416"/>
    <w:rsid w:val="00FC694A"/>
    <w:rsid w:val="00FD491D"/>
    <w:rsid w:val="00FF1C6F"/>
    <w:rsid w:val="00FF34FF"/>
    <w:rsid w:val="36F6183E"/>
    <w:rsid w:val="5EA7E48F"/>
    <w:rsid w:val="6C0900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paragraph" w:customStyle="1" w:styleId="Basis">
    <w:name w:val="Basis"/>
    <w:basedOn w:val="Normal"/>
    <w:rsid w:val="006D50EA"/>
    <w:pPr>
      <w:autoSpaceDN w:val="0"/>
      <w:spacing w:line="240" w:lineRule="auto"/>
      <w:textAlignment w:val="baseline"/>
    </w:pPr>
    <w:rPr>
      <w:rFonts w:ascii="DejaVu Sans" w:hAnsi="DejaVu Sans"/>
      <w:kern w:val="3"/>
      <w:sz w:val="18"/>
      <w:lang w:eastAsia="nl-NL"/>
    </w:rPr>
  </w:style>
  <w:style w:type="character" w:styleId="UnresolvedMention">
    <w:name w:val="Unresolved Mention"/>
    <w:basedOn w:val="DefaultParagraphFont"/>
    <w:uiPriority w:val="99"/>
    <w:semiHidden/>
    <w:unhideWhenUsed/>
    <w:rsid w:val="006D50EA"/>
    <w:rPr>
      <w:color w:val="605E5C"/>
      <w:shd w:val="clear" w:color="auto" w:fill="E1DFDD"/>
    </w:rPr>
  </w:style>
  <w:style w:type="character" w:customStyle="1" w:styleId="FootnoteTextChar">
    <w:name w:val="Footnote Text Char"/>
    <w:basedOn w:val="DefaultParagraphFont"/>
    <w:link w:val="FootnoteText"/>
    <w:rsid w:val="006D50EA"/>
    <w:rPr>
      <w:sz w:val="16"/>
      <w:lang w:eastAsia="zh-CN"/>
    </w:rPr>
  </w:style>
  <w:style w:type="character" w:customStyle="1" w:styleId="CommentTextChar">
    <w:name w:val="Comment Text Char"/>
    <w:basedOn w:val="DefaultParagraphFont"/>
    <w:link w:val="CommentText"/>
    <w:rsid w:val="006D50EA"/>
    <w:rPr>
      <w:lang w:eastAsia="zh-CN"/>
    </w:rPr>
  </w:style>
  <w:style w:type="paragraph" w:styleId="Revision">
    <w:name w:val="Revision"/>
    <w:hidden/>
    <w:uiPriority w:val="99"/>
    <w:semiHidden/>
    <w:rsid w:val="006D50EA"/>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789905500">
      <w:bodyDiv w:val="1"/>
      <w:marLeft w:val="0"/>
      <w:marRight w:val="0"/>
      <w:marTop w:val="0"/>
      <w:marBottom w:val="0"/>
      <w:divBdr>
        <w:top w:val="none" w:sz="0" w:space="0" w:color="auto"/>
        <w:left w:val="none" w:sz="0" w:space="0" w:color="auto"/>
        <w:bottom w:val="none" w:sz="0" w:space="0" w:color="auto"/>
        <w:right w:val="none" w:sz="0" w:space="0" w:color="auto"/>
      </w:divBdr>
    </w:div>
    <w:div w:id="918292924">
      <w:bodyDiv w:val="1"/>
      <w:marLeft w:val="0"/>
      <w:marRight w:val="0"/>
      <w:marTop w:val="0"/>
      <w:marBottom w:val="0"/>
      <w:divBdr>
        <w:top w:val="none" w:sz="0" w:space="0" w:color="auto"/>
        <w:left w:val="none" w:sz="0" w:space="0" w:color="auto"/>
        <w:bottom w:val="none" w:sz="0" w:space="0" w:color="auto"/>
        <w:right w:val="none" w:sz="0" w:space="0" w:color="auto"/>
      </w:divBdr>
    </w:div>
    <w:div w:id="1548495505">
      <w:bodyDiv w:val="1"/>
      <w:marLeft w:val="0"/>
      <w:marRight w:val="0"/>
      <w:marTop w:val="0"/>
      <w:marBottom w:val="0"/>
      <w:divBdr>
        <w:top w:val="none" w:sz="0" w:space="0" w:color="auto"/>
        <w:left w:val="none" w:sz="0" w:space="0" w:color="auto"/>
        <w:bottom w:val="none" w:sz="0" w:space="0" w:color="auto"/>
        <w:right w:val="none" w:sz="0" w:space="0" w:color="auto"/>
      </w:divBdr>
    </w:div>
    <w:div w:id="177061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HTML/?uri=COM:2025:599:FIN&amp;qid=1756980555527"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3/28/kamerbrief-inzake-nederlandse-inzet-hoofdlijnen-mfk-2028" TargetMode="External"/><Relationship Id="rId2" Type="http://schemas.openxmlformats.org/officeDocument/2006/relationships/hyperlink" Target="https://commission.europa.eu/publications/overseas-association-including-greenland_en" TargetMode="External"/><Relationship Id="rId1" Type="http://schemas.openxmlformats.org/officeDocument/2006/relationships/hyperlink" Target="https://eur-lex.europa.eu/legal-content/EN/TXT/PDF/?uri=CELEX:52025DC057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9</ap:Pages>
  <ap:Words>3644</ap:Words>
  <ap:Characters>20046</ap:Characters>
  <ap:DocSecurity>0</ap:DocSecurity>
  <ap:Lines>167</ap:Lines>
  <ap:Paragraphs>47</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23643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2025-10-08T08:21:00.0000000Z</lastPrinted>
  <dcterms:created xsi:type="dcterms:W3CDTF">2025-10-10T14:09:00.0000000Z</dcterms:created>
  <dcterms:modified xsi:type="dcterms:W3CDTF">2025-10-10T14:09:00.0000000Z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0x0101009C7CE436063D44E9BE7DC0259EF7C32F006EB9F9836A634AE58B6169785FD3936F00EC4ABB6A373EEC4B8476FB85D9BD4979</vt:lpwstr>
  </property>
  <property fmtid="{D5CDD505-2E9C-101B-9397-08002B2CF9AE}" pid="8" name="MSIP_Label_6800fede-0e59-47ad-af95-4e63bbdb932d_Enabled">
    <vt:lpwstr>true</vt:lpwstr>
  </property>
  <property fmtid="{D5CDD505-2E9C-101B-9397-08002B2CF9AE}" pid="9" name="MSIP_Label_6800fede-0e59-47ad-af95-4e63bbdb932d_SetDate">
    <vt:lpwstr>2025-10-01T06:17:29Z</vt:lpwstr>
  </property>
  <property fmtid="{D5CDD505-2E9C-101B-9397-08002B2CF9AE}" pid="10" name="MSIP_Label_6800fede-0e59-47ad-af95-4e63bbdb932d_Method">
    <vt:lpwstr>Standard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fe212765-6faa-4243-831f-77b59a842e52</vt:lpwstr>
  </property>
  <property fmtid="{D5CDD505-2E9C-101B-9397-08002B2CF9AE}" pid="14" name="MSIP_Label_6800fede-0e59-47ad-af95-4e63bbdb932d_ContentBits">
    <vt:lpwstr>0</vt:lpwstr>
  </property>
  <property fmtid="{D5CDD505-2E9C-101B-9397-08002B2CF9AE}" pid="15" name="_dlc_DocIdItemGuid">
    <vt:lpwstr>cb7a5153-fb6e-43b6-b233-bef9930df0f4</vt:lpwstr>
  </property>
  <property fmtid="{D5CDD505-2E9C-101B-9397-08002B2CF9AE}" pid="16" name="BZForumOrganisation">
    <vt:lpwstr>2;#Not applicable|0049e722-bfb1-4a3f-9d08-af7366a9af40</vt:lpwstr>
  </property>
  <property fmtid="{D5CDD505-2E9C-101B-9397-08002B2CF9AE}" pid="17" name="BZTheme">
    <vt:lpwstr>1;#Not applicable|ec01d90b-9d0f-4785-8785-e1ea615196bf</vt:lpwstr>
  </property>
  <property fmtid="{D5CDD505-2E9C-101B-9397-08002B2CF9AE}" pid="18" name="BZCountryState">
    <vt:lpwstr>3;#Not applicable|ec01d90b-9d0f-4785-8785-e1ea615196bf</vt:lpwstr>
  </property>
  <property fmtid="{D5CDD505-2E9C-101B-9397-08002B2CF9AE}" pid="19" name="BZMarking">
    <vt:lpwstr>5;#NO MARKING|0a4eb9ae-69eb-4d9e-b573-43ab99ef8592</vt:lpwstr>
  </property>
  <property fmtid="{D5CDD505-2E9C-101B-9397-08002B2CF9AE}" pid="20" name="BZClassification">
    <vt:lpwstr>4;#UNCLASSIFIED (U)|284e6a62-15ab-4017-be27-a1e965f4e940</vt:lpwstr>
  </property>
</Properties>
</file>