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B17" w:rsidRDefault="00470364" w14:paraId="53823FF6" w14:textId="48342D66">
      <w:bookmarkStart w:name="_GoBack" w:id="0"/>
      <w:bookmarkEnd w:id="0"/>
      <w:r>
        <w:t xml:space="preserve">Geachte </w:t>
      </w:r>
      <w:r w:rsidR="00174DF2">
        <w:t>v</w:t>
      </w:r>
      <w:r>
        <w:t>oorzitter,</w:t>
      </w:r>
    </w:p>
    <w:p w:rsidR="00470364" w:rsidRDefault="00470364" w14:paraId="1B434650" w14:textId="77777777"/>
    <w:p w:rsidR="00470364" w:rsidRDefault="00470364" w14:paraId="11281B97" w14:textId="7AA2981F">
      <w:r>
        <w:t xml:space="preserve">In het commissiedebat verkeersveiligheid van 4 september </w:t>
      </w:r>
      <w:r w:rsidR="00E60169">
        <w:t>jl.</w:t>
      </w:r>
      <w:r>
        <w:t xml:space="preserve"> is </w:t>
      </w:r>
      <w:r w:rsidR="00174DF2">
        <w:t>aan</w:t>
      </w:r>
      <w:r>
        <w:t xml:space="preserve"> </w:t>
      </w:r>
      <w:r w:rsidR="00174DF2">
        <w:t>het l</w:t>
      </w:r>
      <w:r>
        <w:t xml:space="preserve">id Boutkan </w:t>
      </w:r>
      <w:r w:rsidR="00174DF2">
        <w:t>toegezegd</w:t>
      </w:r>
      <w:r w:rsidR="00174DF2">
        <w:rPr>
          <w:rStyle w:val="FootnoteReference"/>
        </w:rPr>
        <w:footnoteReference w:id="1"/>
      </w:r>
      <w:r>
        <w:t xml:space="preserve"> om een uiteenzetting</w:t>
      </w:r>
      <w:r w:rsidR="00174DF2">
        <w:t xml:space="preserve"> te geven</w:t>
      </w:r>
      <w:r>
        <w:t xml:space="preserve"> </w:t>
      </w:r>
      <w:r w:rsidR="00500E32">
        <w:t xml:space="preserve">van </w:t>
      </w:r>
      <w:r w:rsidR="00626450">
        <w:t xml:space="preserve">de regels voor </w:t>
      </w:r>
      <w:r w:rsidRPr="00470364">
        <w:t xml:space="preserve">elektrische fietsen en auto’s met interpretatie van de </w:t>
      </w:r>
      <w:r w:rsidR="004D738B">
        <w:t>M</w:t>
      </w:r>
      <w:r w:rsidRPr="00470364">
        <w:t>achinerichtlijn</w:t>
      </w:r>
      <w:r w:rsidR="00840F96">
        <w:t xml:space="preserve"> (2006/42/EG). Hieronder volgt de gevraagde uiteenzetting.</w:t>
      </w:r>
    </w:p>
    <w:p w:rsidR="00840F96" w:rsidRDefault="00840F96" w14:paraId="718EA058" w14:textId="77777777"/>
    <w:p w:rsidR="00840F96" w:rsidRDefault="00840F96" w14:paraId="277A0BB5" w14:textId="3B166FB7">
      <w:pPr>
        <w:rPr>
          <w:b/>
          <w:bCs/>
        </w:rPr>
      </w:pPr>
      <w:r>
        <w:rPr>
          <w:b/>
          <w:bCs/>
        </w:rPr>
        <w:t>Europese regelgeving over</w:t>
      </w:r>
      <w:r w:rsidR="00D22F58">
        <w:rPr>
          <w:b/>
          <w:bCs/>
        </w:rPr>
        <w:t xml:space="preserve"> </w:t>
      </w:r>
      <w:r w:rsidR="00C479C5">
        <w:rPr>
          <w:b/>
          <w:bCs/>
        </w:rPr>
        <w:t xml:space="preserve">(onderdelen voor) auto’s, speedpedelecs en elektrische fietsen </w:t>
      </w:r>
      <w:r w:rsidR="005714BF">
        <w:rPr>
          <w:b/>
          <w:bCs/>
        </w:rPr>
        <w:t>die in Europa op de markt gebracht worden</w:t>
      </w:r>
    </w:p>
    <w:p w:rsidR="00840F96" w:rsidRDefault="00840F96" w14:paraId="1EEA093D" w14:textId="058A3514">
      <w:r>
        <w:t xml:space="preserve">Gemotoriseerde voertuigen, variërend van bromfietsen tot vrachtwagens, worden in de meeste gevallen toegelaten op basis van een Europese typegoedkeuring. Welke regelgeving van toepassing is, is afhankelijk van het soort voertuig. De volgende </w:t>
      </w:r>
      <w:r w:rsidR="00BE49B2">
        <w:t>v</w:t>
      </w:r>
      <w:r>
        <w:t>erordeningen zijn van toepassing:</w:t>
      </w:r>
    </w:p>
    <w:p w:rsidR="00174DF2" w:rsidRDefault="00174DF2" w14:paraId="1EE114DE" w14:textId="77777777"/>
    <w:p w:rsidR="00840F96" w:rsidP="0029245A" w:rsidRDefault="00840F96" w14:paraId="7FD3FBD4" w14:textId="6B765F5D">
      <w:pPr>
        <w:pStyle w:val="ListParagraph"/>
        <w:numPr>
          <w:ilvl w:val="0"/>
          <w:numId w:val="24"/>
        </w:numPr>
        <w:ind w:left="284" w:hanging="284"/>
      </w:pPr>
      <w:r>
        <w:t>Kaderverordening (EU) nr. 168/2013 voor lichte twee-, drie- en vierwielige motorvoertuigen</w:t>
      </w:r>
      <w:r w:rsidR="0097145B">
        <w:t xml:space="preserve"> (voertuigcategorie L)</w:t>
      </w:r>
      <w:r w:rsidR="00C479C5">
        <w:t>, waaronder speedpedelecs.</w:t>
      </w:r>
    </w:p>
    <w:p w:rsidR="00840F96" w:rsidP="0029245A" w:rsidRDefault="00840F96" w14:paraId="6B5B2207" w14:textId="1BDF00AD">
      <w:pPr>
        <w:pStyle w:val="ListParagraph"/>
        <w:numPr>
          <w:ilvl w:val="0"/>
          <w:numId w:val="24"/>
        </w:numPr>
        <w:ind w:left="284" w:hanging="284"/>
      </w:pPr>
      <w:r>
        <w:t>Kaderverordening (EU) nr. 2018/858 voor vierwielige motorvoertuigen</w:t>
      </w:r>
      <w:r w:rsidR="0097145B">
        <w:t xml:space="preserve"> en aanhangers (voertuigcategorieën M, N en O)</w:t>
      </w:r>
      <w:r w:rsidR="00C479C5">
        <w:t>, waaronder personenauto’s</w:t>
      </w:r>
      <w:r w:rsidR="005E2DB6">
        <w:t>.</w:t>
      </w:r>
      <w:r w:rsidR="00C479C5">
        <w:t xml:space="preserve"> </w:t>
      </w:r>
    </w:p>
    <w:p w:rsidR="005E2DB6" w:rsidP="005E2DB6" w:rsidRDefault="005E2DB6" w14:paraId="1451D20B" w14:textId="77777777"/>
    <w:p w:rsidR="00E71294" w:rsidP="005E2DB6" w:rsidRDefault="00D22F58" w14:paraId="64ED14A6" w14:textId="77777777">
      <w:r>
        <w:t xml:space="preserve">De voertuigcategorieën L, M, N en O zijn in bovenstaande verordeningen nader gecategoriseerd aan de hand van criteria als aantal wielen, </w:t>
      </w:r>
      <w:r w:rsidR="00E71294">
        <w:t xml:space="preserve">gewicht, vermogen, afmetingen en aantal zitplaatsen. </w:t>
      </w:r>
    </w:p>
    <w:p w:rsidR="00E71294" w:rsidP="005E2DB6" w:rsidRDefault="00E71294" w14:paraId="436E2190" w14:textId="77777777"/>
    <w:p w:rsidR="00E71294" w:rsidP="005E2DB6" w:rsidRDefault="00E71294" w14:paraId="59F56445" w14:textId="03BF2D5D">
      <w:r>
        <w:t xml:space="preserve">In relatie tot de gevraagde uiteenzetting is de </w:t>
      </w:r>
      <w:r w:rsidR="00BE49B2">
        <w:t>v</w:t>
      </w:r>
      <w:r>
        <w:t xml:space="preserve">erordening (EU) nr. 168/2013 het meest relevant. In deze </w:t>
      </w:r>
      <w:r w:rsidR="00BE49B2">
        <w:t>v</w:t>
      </w:r>
      <w:r>
        <w:t xml:space="preserve">erordening zijn categorieën bepaald voor voertuigen vanaf speedpedelecs, brom- en snorfietsen, motoren, trikes en quads. </w:t>
      </w:r>
      <w:r w:rsidR="00506DDE">
        <w:t>Onder meer de volgende voertuigen vallen niet onder dez</w:t>
      </w:r>
      <w:r>
        <w:t xml:space="preserve">e </w:t>
      </w:r>
      <w:r w:rsidR="00BE49B2">
        <w:t>v</w:t>
      </w:r>
      <w:r>
        <w:t>erordening:</w:t>
      </w:r>
    </w:p>
    <w:p w:rsidR="00174DF2" w:rsidP="005E2DB6" w:rsidRDefault="00174DF2" w14:paraId="24C3A148" w14:textId="77777777"/>
    <w:p w:rsidR="00E71294" w:rsidP="00E71294" w:rsidRDefault="00BE49B2" w14:paraId="086052E2" w14:textId="515548D8">
      <w:pPr>
        <w:pStyle w:val="ListParagraph"/>
        <w:numPr>
          <w:ilvl w:val="0"/>
          <w:numId w:val="24"/>
        </w:numPr>
        <w:ind w:left="284" w:hanging="284"/>
      </w:pPr>
      <w:r>
        <w:t>Voertuigen die z</w:t>
      </w:r>
      <w:r w:rsidR="00E71294">
        <w:t xml:space="preserve">elfstandig </w:t>
      </w:r>
      <w:r>
        <w:t xml:space="preserve">niet </w:t>
      </w:r>
      <w:r w:rsidR="00E71294">
        <w:t>harder kunnen rijden dan 6 km/u</w:t>
      </w:r>
      <w:r>
        <w:t>,</w:t>
      </w:r>
    </w:p>
    <w:p w:rsidR="00E71294" w:rsidP="00BE49B2" w:rsidRDefault="00BE49B2" w14:paraId="54048C16" w14:textId="33F84687">
      <w:pPr>
        <w:pStyle w:val="ListParagraph"/>
        <w:numPr>
          <w:ilvl w:val="0"/>
          <w:numId w:val="24"/>
        </w:numPr>
        <w:ind w:left="284" w:hanging="284"/>
      </w:pPr>
      <w:r>
        <w:t>Fietsen die z</w:t>
      </w:r>
      <w:r w:rsidR="00E71294">
        <w:t>ijn voorzien van een hu</w:t>
      </w:r>
      <w:r>
        <w:t>l</w:t>
      </w:r>
      <w:r w:rsidR="00E71294">
        <w:t>pmotor met een motorvermogen van</w:t>
      </w:r>
      <w:r w:rsidR="00C479C5">
        <w:t xml:space="preserve"> meer dan</w:t>
      </w:r>
      <w:r w:rsidR="00E71294">
        <w:t xml:space="preserve"> 250 Watt (nominaal continue vermogen)</w:t>
      </w:r>
      <w:r>
        <w:t xml:space="preserve"> en waarvan de </w:t>
      </w:r>
      <w:r w:rsidR="00E71294">
        <w:t xml:space="preserve">trapondersteuning </w:t>
      </w:r>
      <w:r>
        <w:t xml:space="preserve">geen ondersteuning biedt </w:t>
      </w:r>
      <w:r w:rsidR="00E71294">
        <w:t>bij een snelheid boven de 25 km/u</w:t>
      </w:r>
      <w:r>
        <w:t xml:space="preserve">, </w:t>
      </w:r>
    </w:p>
    <w:p w:rsidR="00E71294" w:rsidP="00E71294" w:rsidRDefault="00BE49B2" w14:paraId="5CA52E4C" w14:textId="09888B48">
      <w:pPr>
        <w:pStyle w:val="ListParagraph"/>
        <w:numPr>
          <w:ilvl w:val="0"/>
          <w:numId w:val="24"/>
        </w:numPr>
        <w:ind w:left="284" w:hanging="284"/>
      </w:pPr>
      <w:r>
        <w:t xml:space="preserve">Voertuigen die niet </w:t>
      </w:r>
      <w:r w:rsidR="00E71294">
        <w:t xml:space="preserve">voorzien </w:t>
      </w:r>
      <w:r>
        <w:t xml:space="preserve">zijn </w:t>
      </w:r>
      <w:r w:rsidR="00E71294">
        <w:t>van een bestuurderszitplaats.</w:t>
      </w:r>
    </w:p>
    <w:p w:rsidR="00E71294" w:rsidP="00E71294" w:rsidRDefault="00E71294" w14:paraId="752DA330" w14:textId="77777777"/>
    <w:p w:rsidR="00E71294" w:rsidP="00E71294" w:rsidRDefault="00E71294" w14:paraId="7CE7C00F" w14:textId="28142246">
      <w:r>
        <w:lastRenderedPageBreak/>
        <w:t>Dat betekent dat</w:t>
      </w:r>
      <w:r w:rsidR="004214C8">
        <w:t xml:space="preserve"> </w:t>
      </w:r>
      <w:r w:rsidR="00BE49B2">
        <w:t xml:space="preserve">onder meer </w:t>
      </w:r>
      <w:r>
        <w:t>elektrische fietsen</w:t>
      </w:r>
      <w:r w:rsidR="00BE49B2">
        <w:t xml:space="preserve"> met trapondersteuning tot 25 km/u</w:t>
      </w:r>
      <w:r>
        <w:t xml:space="preserve">, conventionele fietsen en elektrische steps buiten de reikwijdte van de Europese </w:t>
      </w:r>
      <w:r w:rsidR="00BE49B2">
        <w:t xml:space="preserve">typegoedkeuringsplicht </w:t>
      </w:r>
      <w:r>
        <w:t xml:space="preserve">vallen. </w:t>
      </w:r>
    </w:p>
    <w:p w:rsidR="00D22F58" w:rsidP="005E2DB6" w:rsidRDefault="00D22F58" w14:paraId="62375DF9" w14:textId="77777777"/>
    <w:p w:rsidRPr="005E2DB6" w:rsidR="005E2DB6" w:rsidP="005E2DB6" w:rsidRDefault="005E2DB6" w14:paraId="0388B34E" w14:textId="78BDA55A">
      <w:pPr>
        <w:rPr>
          <w:i/>
          <w:iCs/>
        </w:rPr>
      </w:pPr>
      <w:r>
        <w:rPr>
          <w:i/>
          <w:iCs/>
        </w:rPr>
        <w:t>Nadere inhoudelijke eisen aan voertuigen, onderdelen en productie</w:t>
      </w:r>
    </w:p>
    <w:p w:rsidR="005E2DB6" w:rsidP="005E2DB6" w:rsidRDefault="005E2DB6" w14:paraId="1C5A190B" w14:textId="5D4BE02D">
      <w:r>
        <w:t>De</w:t>
      </w:r>
      <w:r w:rsidR="00506DDE">
        <w:t xml:space="preserve"> genoemde</w:t>
      </w:r>
      <w:r>
        <w:t xml:space="preserve"> </w:t>
      </w:r>
      <w:r w:rsidR="0086643C">
        <w:t>k</w:t>
      </w:r>
      <w:r>
        <w:t>aderverordeningen regelen categorisering</w:t>
      </w:r>
      <w:r w:rsidR="00D22F58">
        <w:t>, eisen aan toelating en markttoezicht op hoofdlijn</w:t>
      </w:r>
      <w:r w:rsidR="001530E6">
        <w:t>en</w:t>
      </w:r>
      <w:r>
        <w:t>.</w:t>
      </w:r>
      <w:r w:rsidR="00D22F58">
        <w:t xml:space="preserve"> </w:t>
      </w:r>
      <w:r w:rsidRPr="00737E0F" w:rsidR="00737E0F">
        <w:t>Europese lidstaten mogen hierbij geen strengere eisen toepassen</w:t>
      </w:r>
      <w:r w:rsidR="00500E32">
        <w:t xml:space="preserve"> voor de voertuigen die onder de reikwijdte van de verordeningen vallen</w:t>
      </w:r>
      <w:r w:rsidRPr="00737E0F" w:rsidR="00737E0F">
        <w:t>.</w:t>
      </w:r>
      <w:r w:rsidR="00737E0F">
        <w:t xml:space="preserve"> </w:t>
      </w:r>
      <w:r w:rsidR="00D22F58">
        <w:t>De uitwerking vindt plaats in nadere regelgeving die ziet op technische eisen, de wijze van keuren en productiewijze. De technische normen zijn veelal uitgewerkt in reglementen van Economische Commissie voor Europa van de Verenigde Naties</w:t>
      </w:r>
      <w:r w:rsidR="00852FE8">
        <w:t xml:space="preserve"> (de zogenaamde VN/ECE-reglementen)</w:t>
      </w:r>
      <w:r w:rsidR="00D22F58">
        <w:t>. Deze werkwijze borgt de kwaliteit van voertuigen en bevordert productie en handel van voertuigen en onderdelen voor de aftermarket, omdat sprake is standaardisatie in eisen en maatvoering van onder</w:t>
      </w:r>
      <w:r w:rsidR="004214C8">
        <w:t>d</w:t>
      </w:r>
      <w:r w:rsidR="00D22F58">
        <w:t xml:space="preserve">elen op de </w:t>
      </w:r>
      <w:r w:rsidR="00D22F58">
        <w:rPr>
          <w:i/>
          <w:iCs/>
        </w:rPr>
        <w:t xml:space="preserve">automotive </w:t>
      </w:r>
      <w:r w:rsidR="00D22F58">
        <w:t>industrie.</w:t>
      </w:r>
      <w:r w:rsidR="004214C8">
        <w:t xml:space="preserve"> </w:t>
      </w:r>
    </w:p>
    <w:p w:rsidR="005E2DB6" w:rsidP="005E2DB6" w:rsidRDefault="005E2DB6" w14:paraId="00EB908B" w14:textId="77777777"/>
    <w:p w:rsidRPr="00D22F58" w:rsidR="00D22F58" w:rsidP="005E2DB6" w:rsidRDefault="00D22F58" w14:paraId="346EC8A6" w14:textId="73C877E6">
      <w:pPr>
        <w:rPr>
          <w:b/>
          <w:bCs/>
        </w:rPr>
      </w:pPr>
      <w:r>
        <w:rPr>
          <w:b/>
          <w:bCs/>
        </w:rPr>
        <w:t>Europese regelgeving over machines</w:t>
      </w:r>
      <w:r w:rsidR="005714BF">
        <w:rPr>
          <w:b/>
          <w:bCs/>
        </w:rPr>
        <w:t xml:space="preserve"> die in Europa op de markt gebracht worden</w:t>
      </w:r>
      <w:r w:rsidR="00C479C5">
        <w:rPr>
          <w:b/>
          <w:bCs/>
        </w:rPr>
        <w:t xml:space="preserve"> (waaronder elektrische fietsen)</w:t>
      </w:r>
    </w:p>
    <w:p w:rsidR="00D568A2" w:rsidP="00D568A2" w:rsidRDefault="00852FE8" w14:paraId="167C803B" w14:textId="000F0739">
      <w:r>
        <w:t>Voor voertuigen die niet vallen onder de reikwijdte van de genoemde Europese regels voor voertuigen geldt de (meer algemene)</w:t>
      </w:r>
      <w:r w:rsidR="00E71294">
        <w:t xml:space="preserve"> Europese regelgeving </w:t>
      </w:r>
      <w:r>
        <w:t xml:space="preserve">voor </w:t>
      </w:r>
      <w:r w:rsidR="00E71294">
        <w:t xml:space="preserve">machines, </w:t>
      </w:r>
      <w:r w:rsidR="00D911EE">
        <w:t xml:space="preserve">de Machinerichtlijn. Deze geldt voor alle apparaten (variërend van een accuboormachine tot een hefbrug) en die niet in specifiekere EU-regelgeving is geregeld. Dat betekent dat alle voertuigen die vallen onder bovengenoemde </w:t>
      </w:r>
      <w:r>
        <w:t xml:space="preserve">Europese </w:t>
      </w:r>
      <w:r w:rsidR="00D911EE">
        <w:t xml:space="preserve">voertuigregelgeving, per definitie buiten de Machinerichtlijn vallen. Omgekeerd geldt dat voertuigen met een motor die buiten </w:t>
      </w:r>
      <w:r>
        <w:t xml:space="preserve">de reikwijdte van </w:t>
      </w:r>
      <w:r w:rsidR="00D911EE">
        <w:t xml:space="preserve">de Europese voertuigregelgeving vallen, per definitie </w:t>
      </w:r>
      <w:r w:rsidR="00576F2A">
        <w:t>binnen</w:t>
      </w:r>
      <w:r w:rsidR="00D911EE">
        <w:t xml:space="preserve"> de Machinerichtlijn vallen. </w:t>
      </w:r>
      <w:r w:rsidR="00D568A2">
        <w:t xml:space="preserve">Elektrische fietsen </w:t>
      </w:r>
      <w:r w:rsidR="004D32E2">
        <w:t xml:space="preserve">en elektrische steps </w:t>
      </w:r>
      <w:r w:rsidR="00D568A2">
        <w:t xml:space="preserve">zijn </w:t>
      </w:r>
      <w:r w:rsidR="004D32E2">
        <w:t xml:space="preserve">dus </w:t>
      </w:r>
      <w:r w:rsidR="00D568A2">
        <w:t>uitgezonderd van de Kaderverordening (EU) nr. 168/2013, waardoor deze onder de Machinerichtlijn vallen.</w:t>
      </w:r>
    </w:p>
    <w:p w:rsidR="005E2DB6" w:rsidP="005E2DB6" w:rsidRDefault="005E2DB6" w14:paraId="5522C910" w14:textId="41501660"/>
    <w:p w:rsidRPr="004214C8" w:rsidR="009B11B7" w:rsidP="009B11B7" w:rsidRDefault="009B11B7" w14:paraId="5C25A65B" w14:textId="10F76847">
      <w:pPr>
        <w:rPr>
          <w:i/>
          <w:iCs/>
        </w:rPr>
      </w:pPr>
      <w:r>
        <w:rPr>
          <w:i/>
          <w:iCs/>
        </w:rPr>
        <w:t>Eisen aan machines in de Machinerichtlijn</w:t>
      </w:r>
    </w:p>
    <w:p w:rsidR="009B11B7" w:rsidP="009B11B7" w:rsidRDefault="009B11B7" w14:paraId="2B6BD131" w14:textId="73E03238">
      <w:r>
        <w:t xml:space="preserve">De Machinerichtlijn regelt op hoofdlijnen dat machines moeten voldoen aan essentiële eisen </w:t>
      </w:r>
      <w:r w:rsidR="008D1E81">
        <w:t>voor</w:t>
      </w:r>
      <w:r>
        <w:t xml:space="preserve"> gezondheid en veiligheid. Hierbij moet worden gedacht aan </w:t>
      </w:r>
    </w:p>
    <w:p w:rsidR="009B11B7" w:rsidP="009B11B7" w:rsidRDefault="009B11B7" w14:paraId="6245205D" w14:textId="607C8908">
      <w:r>
        <w:t xml:space="preserve">zaken als bescherming tegen elektrische schokken en veiligheidsvoorzieningen tegen beknelling of aanraking met scherpe delen. Daarnaast moet de producent kunnen aantonen dat deze </w:t>
      </w:r>
      <w:r w:rsidR="00500E32">
        <w:t xml:space="preserve">over </w:t>
      </w:r>
      <w:r>
        <w:t>een technisch dossier over het product, tests en de wijze van productie beschikt. Voor deze zaken bestaan veelal (internationale) normen ten aanzien van o.a. definities, maatvoering en testmethodes.</w:t>
      </w:r>
      <w:r w:rsidR="00852FE8">
        <w:t xml:space="preserve"> Een producent moet een CE-markering aanbrengen op het product om te markeren dat aan de geldende eisen is voldaan. </w:t>
      </w:r>
    </w:p>
    <w:p w:rsidR="009B11B7" w:rsidP="005E2DB6" w:rsidRDefault="009B11B7" w14:paraId="4989EA09" w14:textId="77777777"/>
    <w:p w:rsidR="00174DF2" w:rsidP="00842717" w:rsidRDefault="00842717" w14:paraId="77B46DB3" w14:textId="77777777">
      <w:r>
        <w:t xml:space="preserve">Fabrikanten van elektrische fietsen kunnen aantonen dat zij aan de veiligheidseisen van de Machinerichtlijn voldoen door een fiets te produceren die in overeenstemming is met de ISO-norm EN15194. In deze norm wordt gebruik gemaakt van terminologie, definities, technische normen en gestandaardiseerde testmethodes die ook worden gebruikt voor andere voertuigcategorieën. Deze norm is vooral bedoeld voor de industrie en kan worden gezien als ‘kookboek’. </w:t>
      </w:r>
    </w:p>
    <w:p w:rsidR="00842717" w:rsidP="00842717" w:rsidRDefault="00842717" w14:paraId="4B52CC81" w14:textId="5FE16077">
      <w:r>
        <w:t xml:space="preserve">Wanneer ‘het recept’ wordt gevolgd kan de fabrikant er vrij zeker van zijn dat de elektrische fiets aan de eisen voldoet. Echter, de Machinerichtlijn is zo opgezet dat het voor fabrikanten mogelijk is om elektrische fietsen te ontwerpen die wél aan de </w:t>
      </w:r>
      <w:r w:rsidR="004D32E2">
        <w:t xml:space="preserve">bovengenoemde essentiële </w:t>
      </w:r>
      <w:r>
        <w:t>eisen voldoet</w:t>
      </w:r>
      <w:r w:rsidR="00C479C5">
        <w:t xml:space="preserve"> (en dus een CE-markering mogen voeren)</w:t>
      </w:r>
      <w:r>
        <w:t xml:space="preserve">, maar die niet persé conform de (gehele) norm EN15194 </w:t>
      </w:r>
      <w:r w:rsidR="0029245A">
        <w:t xml:space="preserve">zijn </w:t>
      </w:r>
      <w:r>
        <w:t>ontworpen.</w:t>
      </w:r>
      <w:r w:rsidR="0029245A">
        <w:t xml:space="preserve"> Door deze werkwijze is het mogelijk een brede markt te bedienen, van relatief eenvoudige e-fietsen die in grote aantallen worden geproduceerd tot nicheproducten voor specifieke doelgroepen.</w:t>
      </w:r>
      <w:r>
        <w:t xml:space="preserve"> </w:t>
      </w:r>
    </w:p>
    <w:p w:rsidR="00842717" w:rsidP="00842717" w:rsidRDefault="00842717" w14:paraId="427C5AAA" w14:textId="77777777"/>
    <w:p w:rsidRPr="004214C8" w:rsidR="00D911EE" w:rsidP="005E2DB6" w:rsidRDefault="004214C8" w14:paraId="75162BB8" w14:textId="1C3CF45A">
      <w:pPr>
        <w:rPr>
          <w:i/>
          <w:iCs/>
        </w:rPr>
      </w:pPr>
      <w:r>
        <w:rPr>
          <w:i/>
          <w:iCs/>
        </w:rPr>
        <w:t>Elektrische fietsen in relatie tot EU-regelgeving</w:t>
      </w:r>
    </w:p>
    <w:p w:rsidR="004214C8" w:rsidP="005E2DB6" w:rsidRDefault="004214C8" w14:paraId="0DEA56D7" w14:textId="2B326BD9">
      <w:r>
        <w:t>Op basis van bovenstaande</w:t>
      </w:r>
      <w:r w:rsidR="009B11B7">
        <w:t xml:space="preserve"> uiteenzetting</w:t>
      </w:r>
      <w:r>
        <w:t xml:space="preserve"> geldt dat elektrische fietsen onder de Machinerichtlijn </w:t>
      </w:r>
      <w:r w:rsidR="00C93052">
        <w:t xml:space="preserve">vallen </w:t>
      </w:r>
      <w:r>
        <w:t>indien deze:</w:t>
      </w:r>
    </w:p>
    <w:p w:rsidR="004214C8" w:rsidP="004214C8" w:rsidRDefault="00174DF2" w14:paraId="0C333705" w14:textId="218314B4">
      <w:pPr>
        <w:pStyle w:val="ListParagraph"/>
        <w:numPr>
          <w:ilvl w:val="0"/>
          <w:numId w:val="24"/>
        </w:numPr>
      </w:pPr>
      <w:r>
        <w:t>z</w:t>
      </w:r>
      <w:r w:rsidR="004214C8">
        <w:t xml:space="preserve">ijn voorzien van een hulpmotor met een vermogen tot 250 Watt; </w:t>
      </w:r>
    </w:p>
    <w:p w:rsidR="004214C8" w:rsidP="004214C8" w:rsidRDefault="00174DF2" w14:paraId="0FB26E94" w14:textId="5E2D220D">
      <w:pPr>
        <w:pStyle w:val="ListParagraph"/>
        <w:numPr>
          <w:ilvl w:val="0"/>
          <w:numId w:val="24"/>
        </w:numPr>
      </w:pPr>
      <w:r>
        <w:t>w</w:t>
      </w:r>
      <w:r w:rsidR="00500E32">
        <w:t>aarbij de h</w:t>
      </w:r>
      <w:r w:rsidR="004214C8">
        <w:t>ulpmotor alleen ondersteunend werkt;</w:t>
      </w:r>
      <w:r w:rsidR="00500E32">
        <w:t xml:space="preserve"> en</w:t>
      </w:r>
    </w:p>
    <w:p w:rsidR="004214C8" w:rsidP="004214C8" w:rsidRDefault="00174DF2" w14:paraId="7F20167C" w14:textId="45E0B6A1">
      <w:pPr>
        <w:pStyle w:val="ListParagraph"/>
        <w:numPr>
          <w:ilvl w:val="0"/>
          <w:numId w:val="24"/>
        </w:numPr>
      </w:pPr>
      <w:r>
        <w:t>w</w:t>
      </w:r>
      <w:r w:rsidR="004214C8">
        <w:t xml:space="preserve">aarbij de </w:t>
      </w:r>
      <w:r w:rsidR="00500E32">
        <w:t>trap</w:t>
      </w:r>
      <w:r w:rsidR="004214C8">
        <w:t xml:space="preserve">ondersteuning geleidelijk afneemt naarmate de snelheid toeneemt en stopt bij 25 km/u. </w:t>
      </w:r>
    </w:p>
    <w:p w:rsidR="004214C8" w:rsidP="005E2DB6" w:rsidRDefault="004214C8" w14:paraId="415B8210" w14:textId="55009A99"/>
    <w:p w:rsidR="00DA5C53" w:rsidP="00DA5C53" w:rsidRDefault="00DA5C53" w14:paraId="682F4CAE" w14:textId="4F6B2273">
      <w:r>
        <w:t xml:space="preserve">Op basis van EU-recht </w:t>
      </w:r>
      <w:r w:rsidR="00C479C5">
        <w:t xml:space="preserve">vallen </w:t>
      </w:r>
      <w:r>
        <w:t xml:space="preserve">elektrische fietsen </w:t>
      </w:r>
      <w:r w:rsidR="00C479C5">
        <w:t xml:space="preserve">buiten EU-voertuigregelgeving en (dus) binnen de Machinerichtlijn. Lidstaten mogen voor dergelijke voertuigen </w:t>
      </w:r>
      <w:r>
        <w:t xml:space="preserve">zelf </w:t>
      </w:r>
      <w:r w:rsidR="00852FE8">
        <w:t>eisen stellen</w:t>
      </w:r>
      <w:r w:rsidR="00842717">
        <w:t>, bijvoorbeeld in de vorm van een nationale typegoedkeuring</w:t>
      </w:r>
      <w:r>
        <w:t>. Specifiek over elektrische fietsen</w:t>
      </w:r>
      <w:r w:rsidR="00303716">
        <w:t xml:space="preserve">, maar bijvoorbeeld ook </w:t>
      </w:r>
      <w:r>
        <w:t>elektrische steps</w:t>
      </w:r>
      <w:r w:rsidR="00500E32">
        <w:t>. Dat</w:t>
      </w:r>
      <w:r>
        <w:t xml:space="preserve"> betekent dat </w:t>
      </w:r>
      <w:r w:rsidR="00500E32">
        <w:t>l</w:t>
      </w:r>
      <w:r>
        <w:t xml:space="preserve">idstaten dus zelf bepalen </w:t>
      </w:r>
      <w:r w:rsidR="00500E32">
        <w:t>of zij eisen stellen aan die voertuigen, en zo ja welke</w:t>
      </w:r>
      <w:r>
        <w:t xml:space="preserve">, </w:t>
      </w:r>
      <w:r w:rsidR="00835825">
        <w:t xml:space="preserve">en of </w:t>
      </w:r>
      <w:r w:rsidR="00842717">
        <w:t>bijvoorbeeld een goedkeuring vereist is</w:t>
      </w:r>
      <w:r>
        <w:t xml:space="preserve">. Zo geldt in Nederland een </w:t>
      </w:r>
      <w:r w:rsidR="00842717">
        <w:t xml:space="preserve">goedkeuringsplicht </w:t>
      </w:r>
      <w:r>
        <w:t>voor elektrische steps</w:t>
      </w:r>
      <w:r w:rsidR="00842717">
        <w:t xml:space="preserve"> en andere bijzondere bromfietsen</w:t>
      </w:r>
      <w:r>
        <w:t xml:space="preserve"> en mogen elektrische fietsen zonder </w:t>
      </w:r>
      <w:r w:rsidR="00842717">
        <w:t xml:space="preserve">goedkeuring </w:t>
      </w:r>
      <w:r>
        <w:t xml:space="preserve">de weg op. </w:t>
      </w:r>
    </w:p>
    <w:p w:rsidR="00DA5C53" w:rsidP="005E2DB6" w:rsidRDefault="00DA5C53" w14:paraId="0AA2260E" w14:textId="77777777"/>
    <w:p w:rsidRPr="009B11B7" w:rsidR="009B11B7" w:rsidP="005E2DB6" w:rsidRDefault="009B11B7" w14:paraId="1C5C6F1A" w14:textId="0A02575B">
      <w:pPr>
        <w:rPr>
          <w:b/>
          <w:bCs/>
        </w:rPr>
      </w:pPr>
      <w:r>
        <w:rPr>
          <w:b/>
          <w:bCs/>
        </w:rPr>
        <w:t>Nederlandse voertuigregelgeving en elektrische fietsen</w:t>
      </w:r>
    </w:p>
    <w:p w:rsidR="00D6752B" w:rsidP="005E2DB6" w:rsidRDefault="00D6752B" w14:paraId="3022323D" w14:textId="77777777"/>
    <w:p w:rsidRPr="00D6752B" w:rsidR="00D6752B" w:rsidP="005E2DB6" w:rsidRDefault="00D6752B" w14:paraId="0D677AD7" w14:textId="00C264C0">
      <w:pPr>
        <w:rPr>
          <w:i/>
          <w:iCs/>
        </w:rPr>
      </w:pPr>
      <w:r>
        <w:rPr>
          <w:i/>
          <w:iCs/>
        </w:rPr>
        <w:t>Regeling voertuigen, toelatingseisen</w:t>
      </w:r>
    </w:p>
    <w:p w:rsidR="009B11B7" w:rsidP="005E2DB6" w:rsidRDefault="001B10F6" w14:paraId="3E1362F4" w14:textId="7862A893">
      <w:r>
        <w:t>Technische e</w:t>
      </w:r>
      <w:r w:rsidR="00AC20EF">
        <w:t xml:space="preserve">isen aan voertuigen zijn in Nederlandse regelgeving bepaald in de </w:t>
      </w:r>
      <w:r w:rsidR="002F13B7">
        <w:t>R</w:t>
      </w:r>
      <w:r w:rsidR="00AC20EF">
        <w:t>egeling voertuigen. Deze regeling bevat definities</w:t>
      </w:r>
      <w:r>
        <w:t xml:space="preserve">, </w:t>
      </w:r>
      <w:r w:rsidR="0086643C">
        <w:t>de procedure</w:t>
      </w:r>
      <w:r w:rsidR="00AC20EF">
        <w:t xml:space="preserve"> </w:t>
      </w:r>
      <w:r w:rsidR="002F13B7">
        <w:t xml:space="preserve">voor goedkeuring </w:t>
      </w:r>
      <w:r w:rsidR="00AC20EF">
        <w:t xml:space="preserve">voor </w:t>
      </w:r>
      <w:r>
        <w:t>voertuigen die onder EU-voertuigregelgeving vallen en eisen voor goedkeuring voor voertuigen waarvoor een nationale goedkeuringsplicht wenselijk wordt geacht.</w:t>
      </w:r>
      <w:r w:rsidR="002F13B7">
        <w:t xml:space="preserve"> </w:t>
      </w:r>
      <w:r w:rsidR="00D6752B">
        <w:t xml:space="preserve">Voor </w:t>
      </w:r>
      <w:r>
        <w:t xml:space="preserve">laatstgenoemde </w:t>
      </w:r>
      <w:r w:rsidR="00D6752B">
        <w:t xml:space="preserve">zijn de Europese normen </w:t>
      </w:r>
      <w:r w:rsidR="002F13B7">
        <w:t xml:space="preserve">en de goedkeuringsprocedure </w:t>
      </w:r>
      <w:r w:rsidR="00D6752B">
        <w:t xml:space="preserve">van overeenkomstige toepassing, wat betekent dat Nederland de eisen aan onderdelen en de goedkeuringsprocedures van de EU-regelgeving </w:t>
      </w:r>
      <w:r w:rsidR="009C1822">
        <w:t>toepast in de nationale typegoedkeuringsprocedure</w:t>
      </w:r>
      <w:r w:rsidR="00D6752B">
        <w:t>.</w:t>
      </w:r>
      <w:r w:rsidR="0086643C">
        <w:t xml:space="preserve"> Voor elektrische fietsen geldt ook geen nationale typegoedkeuringsplicht.</w:t>
      </w:r>
    </w:p>
    <w:p w:rsidR="00D6752B" w:rsidP="005E2DB6" w:rsidRDefault="00D6752B" w14:paraId="59FE36D4" w14:textId="77777777"/>
    <w:p w:rsidRPr="00D6752B" w:rsidR="00D6752B" w:rsidP="005E2DB6" w:rsidRDefault="00D6752B" w14:paraId="3B7B41A7" w14:textId="01875198">
      <w:pPr>
        <w:rPr>
          <w:i/>
          <w:iCs/>
        </w:rPr>
      </w:pPr>
      <w:r>
        <w:rPr>
          <w:i/>
          <w:iCs/>
        </w:rPr>
        <w:t>Regeling voertuigen, permanente eisen</w:t>
      </w:r>
    </w:p>
    <w:p w:rsidR="00AC20EF" w:rsidP="005E2DB6" w:rsidRDefault="00AC20EF" w14:paraId="5DE0621D" w14:textId="5A4F828B">
      <w:r>
        <w:t xml:space="preserve">Per voertuigcategorie gelden </w:t>
      </w:r>
      <w:r w:rsidR="00D6752B">
        <w:t>daarnaast</w:t>
      </w:r>
      <w:r>
        <w:t xml:space="preserve"> zogenoemde permanente eisen. Deze permanente eisen zijn de eisen waar een voertuig altijd aan moet voldoen </w:t>
      </w:r>
      <w:r w:rsidR="009C1822">
        <w:t>als het wordt gebruikt op de weg</w:t>
      </w:r>
      <w:r>
        <w:t xml:space="preserve"> en kunnen worden gezien als minimumniveau</w:t>
      </w:r>
      <w:r w:rsidR="00D6752B">
        <w:t xml:space="preserve"> van veiligheid</w:t>
      </w:r>
      <w:r>
        <w:t xml:space="preserve">. </w:t>
      </w:r>
      <w:r w:rsidR="009C1822">
        <w:t>De gebruiker is verantwoordelijk voor het naleven van die eisen</w:t>
      </w:r>
      <w:r w:rsidR="00303716">
        <w:t>, wat betekent dat de gebruiker ervoor moet zorgen dat een voertuig voldoende onderhouden is en geen gebreken heeft. De politie kan hierop handhaven.</w:t>
      </w:r>
      <w:r w:rsidR="009C1822">
        <w:t xml:space="preserve"> </w:t>
      </w:r>
      <w:r w:rsidR="00303716">
        <w:t xml:space="preserve">Voor sommige voertuigcategorieën, waaronder personenauto’s geldt een verplichte jaarlijkse controle op permanente eisen via de APK (algemene periodieke keuring). </w:t>
      </w:r>
    </w:p>
    <w:p w:rsidR="00303716" w:rsidP="005E2DB6" w:rsidRDefault="00303716" w14:paraId="19C6C2F8" w14:textId="77777777"/>
    <w:p w:rsidR="002D35B9" w:rsidP="00303716" w:rsidRDefault="00AC20EF" w14:paraId="35080F91" w14:textId="10D272EF">
      <w:r>
        <w:t>Voor voertuigen</w:t>
      </w:r>
      <w:r w:rsidR="00835825">
        <w:t xml:space="preserve"> </w:t>
      </w:r>
      <w:r w:rsidR="00500E32">
        <w:t xml:space="preserve">die vallen onder de reikwijdte van </w:t>
      </w:r>
      <w:r w:rsidR="00DA5C53">
        <w:t xml:space="preserve">de Machinerichtlijn </w:t>
      </w:r>
      <w:r>
        <w:t xml:space="preserve">geldt dat de eisen in de </w:t>
      </w:r>
      <w:r w:rsidR="009C1822">
        <w:t>R</w:t>
      </w:r>
      <w:r>
        <w:t xml:space="preserve">egeling voertuigen over voertuiggerelateerde onderwerpen gaan die aanvullend zijn op de eisen uit de Machinerichtlijn. </w:t>
      </w:r>
      <w:r w:rsidR="008C45B5">
        <w:t>Denk hierbij</w:t>
      </w:r>
      <w:r>
        <w:t xml:space="preserve"> aan eisen aan remmen, verlichting en afmetingen. </w:t>
      </w:r>
      <w:r w:rsidR="00303716">
        <w:t>Specifiek voor elektrische fietsen gelden permanente eisen voor:</w:t>
      </w:r>
      <w:r w:rsidR="002D35B9">
        <w:t xml:space="preserve"> </w:t>
      </w:r>
    </w:p>
    <w:p w:rsidR="002D35B9" w:rsidP="002D35B9" w:rsidRDefault="002D35B9" w14:paraId="20362F8C" w14:textId="77777777">
      <w:pPr>
        <w:pStyle w:val="ListParagraph"/>
        <w:numPr>
          <w:ilvl w:val="0"/>
          <w:numId w:val="24"/>
        </w:numPr>
        <w:ind w:left="284" w:hanging="284"/>
      </w:pPr>
      <w:r>
        <w:t xml:space="preserve">de algemene bouwwijze, </w:t>
      </w:r>
    </w:p>
    <w:p w:rsidR="002D35B9" w:rsidP="002D35B9" w:rsidRDefault="002D35B9" w14:paraId="528D303B" w14:textId="77777777">
      <w:pPr>
        <w:pStyle w:val="ListParagraph"/>
        <w:numPr>
          <w:ilvl w:val="0"/>
          <w:numId w:val="24"/>
        </w:numPr>
        <w:ind w:left="284" w:hanging="284"/>
      </w:pPr>
      <w:r>
        <w:t xml:space="preserve">afmetingen en massa’s, </w:t>
      </w:r>
    </w:p>
    <w:p w:rsidR="00DA5C53" w:rsidP="002D35B9" w:rsidRDefault="002D35B9" w14:paraId="440C1D70" w14:textId="2A706E81">
      <w:pPr>
        <w:pStyle w:val="ListParagraph"/>
        <w:numPr>
          <w:ilvl w:val="0"/>
          <w:numId w:val="24"/>
        </w:numPr>
        <w:ind w:left="284" w:hanging="284"/>
      </w:pPr>
      <w:r>
        <w:t>motor en accu,</w:t>
      </w:r>
    </w:p>
    <w:p w:rsidR="002D35B9" w:rsidP="002D35B9" w:rsidRDefault="002D35B9" w14:paraId="22179FD7" w14:textId="2AA792B8">
      <w:pPr>
        <w:pStyle w:val="ListParagraph"/>
        <w:numPr>
          <w:ilvl w:val="0"/>
          <w:numId w:val="24"/>
        </w:numPr>
        <w:ind w:left="284" w:hanging="284"/>
      </w:pPr>
      <w:r>
        <w:t>stuurinrichting,</w:t>
      </w:r>
    </w:p>
    <w:p w:rsidR="002D35B9" w:rsidP="002D35B9" w:rsidRDefault="002D35B9" w14:paraId="166E8079" w14:textId="0B993E5B">
      <w:pPr>
        <w:pStyle w:val="ListParagraph"/>
        <w:numPr>
          <w:ilvl w:val="0"/>
          <w:numId w:val="24"/>
        </w:numPr>
        <w:ind w:left="284" w:hanging="284"/>
      </w:pPr>
      <w:r>
        <w:t>reminrichting,</w:t>
      </w:r>
    </w:p>
    <w:p w:rsidR="002D35B9" w:rsidP="002D35B9" w:rsidRDefault="002D35B9" w14:paraId="5B2CB559" w14:textId="028A9239">
      <w:pPr>
        <w:pStyle w:val="ListParagraph"/>
        <w:numPr>
          <w:ilvl w:val="0"/>
          <w:numId w:val="24"/>
        </w:numPr>
        <w:ind w:left="284" w:hanging="284"/>
      </w:pPr>
      <w:r>
        <w:t>carros</w:t>
      </w:r>
      <w:r w:rsidR="00C828E5">
        <w:t>s</w:t>
      </w:r>
      <w:r>
        <w:t>erie,</w:t>
      </w:r>
    </w:p>
    <w:p w:rsidR="00F0381B" w:rsidP="005E2DB6" w:rsidRDefault="002D35B9" w14:paraId="57394D2E" w14:textId="77777777">
      <w:pPr>
        <w:pStyle w:val="ListParagraph"/>
        <w:numPr>
          <w:ilvl w:val="0"/>
          <w:numId w:val="24"/>
        </w:numPr>
        <w:ind w:left="284" w:hanging="284"/>
      </w:pPr>
      <w:r>
        <w:t>lichten, lichtsignalen en retroreflecterende voorzieningen</w:t>
      </w:r>
    </w:p>
    <w:p w:rsidR="00D911EE" w:rsidP="00F0381B" w:rsidRDefault="0086643C" w14:paraId="2F6730FD" w14:textId="7A5E21BE">
      <w:r>
        <w:t>De</w:t>
      </w:r>
      <w:r w:rsidR="002D35B9">
        <w:t xml:space="preserve"> eisen voor fietsen met trapondersteuning (elektrische fietsen) </w:t>
      </w:r>
      <w:r>
        <w:t xml:space="preserve">komen </w:t>
      </w:r>
      <w:r w:rsidR="002D35B9">
        <w:t xml:space="preserve">overeen met de eisen aan conventionele fietsen, aangevuld met eisen aan de motor en accu. </w:t>
      </w:r>
    </w:p>
    <w:p w:rsidR="005E2DB6" w:rsidP="005E2DB6" w:rsidRDefault="005E2DB6" w14:paraId="3D7BB01F" w14:textId="77777777"/>
    <w:p w:rsidR="009419FB" w:rsidP="005E2DB6" w:rsidRDefault="009419FB" w14:paraId="0204E9D2" w14:textId="061C40D8">
      <w:pPr>
        <w:rPr>
          <w:b/>
          <w:bCs/>
        </w:rPr>
      </w:pPr>
      <w:r>
        <w:rPr>
          <w:b/>
          <w:bCs/>
        </w:rPr>
        <w:t>Overzicht</w:t>
      </w:r>
    </w:p>
    <w:p w:rsidRPr="009419FB" w:rsidR="009419FB" w:rsidP="005E2DB6" w:rsidRDefault="009419FB" w14:paraId="117EEE5C" w14:textId="43D6D19D">
      <w:r>
        <w:t xml:space="preserve">In onderstaande overzicht is de vergelijking tussen elektrische fietsen en auto’s weergegeven. Dit is aangevuld met speedpedelecs, dit zijn elektrische fietsen die qua vermogen en snelheid binnen de EU-Verordening vallen en in Nederland worden beschouwd als bromfiets.  </w:t>
      </w:r>
    </w:p>
    <w:p w:rsidR="005E2DB6" w:rsidP="005E2DB6" w:rsidRDefault="005E2DB6" w14:paraId="6DB5483F" w14:textId="77777777"/>
    <w:tbl>
      <w:tblPr>
        <w:tblStyle w:val="PlainTable5"/>
        <w:tblW w:w="8931" w:type="dxa"/>
        <w:tblLook w:val="04A0" w:firstRow="1" w:lastRow="0" w:firstColumn="1" w:lastColumn="0" w:noHBand="0" w:noVBand="1"/>
      </w:tblPr>
      <w:tblGrid>
        <w:gridCol w:w="2126"/>
        <w:gridCol w:w="2269"/>
        <w:gridCol w:w="2192"/>
        <w:gridCol w:w="2344"/>
      </w:tblGrid>
      <w:tr w:rsidR="00D361B6" w:rsidTr="00174DF2" w14:paraId="593C8CE8" w14:textId="5E9C3A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6" w:type="dxa"/>
          </w:tcPr>
          <w:p w:rsidRPr="00345772" w:rsidR="00345772" w:rsidP="005E2DB6" w:rsidRDefault="00D361B6" w14:paraId="5A5DABFC" w14:textId="2B9C132C">
            <w:pPr>
              <w:rPr>
                <w:b/>
                <w:bCs/>
              </w:rPr>
            </w:pPr>
            <w:r>
              <w:rPr>
                <w:b/>
                <w:bCs/>
              </w:rPr>
              <w:t>As</w:t>
            </w:r>
            <w:r w:rsidRPr="00345772">
              <w:rPr>
                <w:b/>
                <w:bCs/>
              </w:rPr>
              <w:t>pect</w:t>
            </w:r>
          </w:p>
        </w:tc>
        <w:tc>
          <w:tcPr>
            <w:tcW w:w="2269" w:type="dxa"/>
          </w:tcPr>
          <w:p w:rsidRPr="00345772" w:rsidR="00345772" w:rsidP="005E2DB6" w:rsidRDefault="00345772" w14:paraId="311B022E" w14:textId="7ABB7FAF">
            <w:pPr>
              <w:cnfStyle w:val="100000000000" w:firstRow="1" w:lastRow="0" w:firstColumn="0" w:lastColumn="0" w:oddVBand="0" w:evenVBand="0" w:oddHBand="0" w:evenHBand="0" w:firstRowFirstColumn="0" w:firstRowLastColumn="0" w:lastRowFirstColumn="0" w:lastRowLastColumn="0"/>
              <w:rPr>
                <w:b/>
                <w:bCs/>
              </w:rPr>
            </w:pPr>
            <w:r w:rsidRPr="00345772">
              <w:rPr>
                <w:b/>
                <w:bCs/>
              </w:rPr>
              <w:t>Elektrische fiets</w:t>
            </w:r>
          </w:p>
        </w:tc>
        <w:tc>
          <w:tcPr>
            <w:tcW w:w="2192" w:type="dxa"/>
          </w:tcPr>
          <w:p w:rsidRPr="00345772" w:rsidR="00345772" w:rsidP="005E2DB6" w:rsidRDefault="00345772" w14:paraId="742F64D7" w14:textId="1B612F7E">
            <w:pPr>
              <w:cnfStyle w:val="100000000000" w:firstRow="1" w:lastRow="0" w:firstColumn="0" w:lastColumn="0" w:oddVBand="0" w:evenVBand="0" w:oddHBand="0" w:evenHBand="0" w:firstRowFirstColumn="0" w:firstRowLastColumn="0" w:lastRowFirstColumn="0" w:lastRowLastColumn="0"/>
              <w:rPr>
                <w:b/>
                <w:bCs/>
              </w:rPr>
            </w:pPr>
            <w:r w:rsidRPr="00345772">
              <w:rPr>
                <w:b/>
                <w:bCs/>
              </w:rPr>
              <w:t>Speedpedelec</w:t>
            </w:r>
          </w:p>
        </w:tc>
        <w:tc>
          <w:tcPr>
            <w:tcW w:w="2344" w:type="dxa"/>
          </w:tcPr>
          <w:p w:rsidRPr="00345772" w:rsidR="00345772" w:rsidP="005E2DB6" w:rsidRDefault="00D361B6" w14:paraId="2A78074F" w14:textId="71DF237D">
            <w:pPr>
              <w:cnfStyle w:val="100000000000" w:firstRow="1" w:lastRow="0" w:firstColumn="0" w:lastColumn="0" w:oddVBand="0" w:evenVBand="0" w:oddHBand="0" w:evenHBand="0" w:firstRowFirstColumn="0" w:firstRowLastColumn="0" w:lastRowFirstColumn="0" w:lastRowLastColumn="0"/>
              <w:rPr>
                <w:b/>
                <w:bCs/>
              </w:rPr>
            </w:pPr>
            <w:r>
              <w:rPr>
                <w:b/>
                <w:bCs/>
              </w:rPr>
              <w:t>P</w:t>
            </w:r>
            <w:r w:rsidRPr="00345772" w:rsidR="00345772">
              <w:rPr>
                <w:b/>
                <w:bCs/>
              </w:rPr>
              <w:t>ersonenauto</w:t>
            </w:r>
          </w:p>
        </w:tc>
      </w:tr>
      <w:tr w:rsidR="00D361B6" w:rsidTr="00174DF2" w14:paraId="2B6B450F" w14:textId="59BD2F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345772" w:rsidP="005E2DB6" w:rsidRDefault="00D361B6" w14:paraId="02F6836A" w14:textId="53A23DBF">
            <w:r>
              <w:t>C</w:t>
            </w:r>
            <w:r w:rsidR="00345772">
              <w:t>ategorie</w:t>
            </w:r>
          </w:p>
        </w:tc>
        <w:tc>
          <w:tcPr>
            <w:tcW w:w="2269" w:type="dxa"/>
          </w:tcPr>
          <w:p w:rsidR="00345772" w:rsidP="005E2DB6" w:rsidRDefault="00345772" w14:paraId="43BF9CA9" w14:textId="2CD1B926">
            <w:pPr>
              <w:cnfStyle w:val="000000100000" w:firstRow="0" w:lastRow="0" w:firstColumn="0" w:lastColumn="0" w:oddVBand="0" w:evenVBand="0" w:oddHBand="1" w:evenHBand="0" w:firstRowFirstColumn="0" w:firstRowLastColumn="0" w:lastRowFirstColumn="0" w:lastRowLastColumn="0"/>
            </w:pPr>
            <w:r>
              <w:t>n.v.t.</w:t>
            </w:r>
          </w:p>
        </w:tc>
        <w:tc>
          <w:tcPr>
            <w:tcW w:w="2192" w:type="dxa"/>
          </w:tcPr>
          <w:p w:rsidR="00345772" w:rsidP="005E2DB6" w:rsidRDefault="00345772" w14:paraId="28E9C65A" w14:textId="15B96655">
            <w:pPr>
              <w:cnfStyle w:val="000000100000" w:firstRow="0" w:lastRow="0" w:firstColumn="0" w:lastColumn="0" w:oddVBand="0" w:evenVBand="0" w:oddHBand="1" w:evenHBand="0" w:firstRowFirstColumn="0" w:firstRowLastColumn="0" w:lastRowFirstColumn="0" w:lastRowLastColumn="0"/>
            </w:pPr>
            <w:r>
              <w:t>L1e-b</w:t>
            </w:r>
          </w:p>
        </w:tc>
        <w:tc>
          <w:tcPr>
            <w:tcW w:w="2344" w:type="dxa"/>
          </w:tcPr>
          <w:p w:rsidR="00345772" w:rsidP="005E2DB6" w:rsidRDefault="00345772" w14:paraId="49D043C1" w14:textId="46805092">
            <w:pPr>
              <w:cnfStyle w:val="000000100000" w:firstRow="0" w:lastRow="0" w:firstColumn="0" w:lastColumn="0" w:oddVBand="0" w:evenVBand="0" w:oddHBand="1" w:evenHBand="0" w:firstRowFirstColumn="0" w:firstRowLastColumn="0" w:lastRowFirstColumn="0" w:lastRowLastColumn="0"/>
            </w:pPr>
            <w:r>
              <w:t>M1</w:t>
            </w:r>
          </w:p>
        </w:tc>
      </w:tr>
      <w:tr w:rsidR="00D361B6" w:rsidTr="00174DF2" w14:paraId="2EEBB821" w14:textId="55C42BF0">
        <w:tc>
          <w:tcPr>
            <w:cnfStyle w:val="001000000000" w:firstRow="0" w:lastRow="0" w:firstColumn="1" w:lastColumn="0" w:oddVBand="0" w:evenVBand="0" w:oddHBand="0" w:evenHBand="0" w:firstRowFirstColumn="0" w:firstRowLastColumn="0" w:lastRowFirstColumn="0" w:lastRowLastColumn="0"/>
            <w:tcW w:w="2126" w:type="dxa"/>
          </w:tcPr>
          <w:p w:rsidR="00345772" w:rsidP="00345772" w:rsidRDefault="00345772" w14:paraId="4D452C89" w14:textId="577EB662">
            <w:r>
              <w:t>Wettelijk kader</w:t>
            </w:r>
          </w:p>
        </w:tc>
        <w:tc>
          <w:tcPr>
            <w:tcW w:w="2269" w:type="dxa"/>
          </w:tcPr>
          <w:p w:rsidR="00345772" w:rsidP="00345772" w:rsidRDefault="00345772" w14:paraId="7CD1CBB1" w14:textId="20404558">
            <w:pPr>
              <w:cnfStyle w:val="000000000000" w:firstRow="0" w:lastRow="0" w:firstColumn="0" w:lastColumn="0" w:oddVBand="0" w:evenVBand="0" w:oddHBand="0" w:evenHBand="0" w:firstRowFirstColumn="0" w:firstRowLastColumn="0" w:lastRowFirstColumn="0" w:lastRowLastColumn="0"/>
            </w:pPr>
            <w:r>
              <w:t>Machinerichtlijn</w:t>
            </w:r>
          </w:p>
        </w:tc>
        <w:tc>
          <w:tcPr>
            <w:tcW w:w="2192" w:type="dxa"/>
          </w:tcPr>
          <w:p w:rsidR="00345772" w:rsidP="00345772" w:rsidRDefault="00345772" w14:paraId="17804535" w14:textId="188CC74F">
            <w:pPr>
              <w:cnfStyle w:val="000000000000" w:firstRow="0" w:lastRow="0" w:firstColumn="0" w:lastColumn="0" w:oddVBand="0" w:evenVBand="0" w:oddHBand="0" w:evenHBand="0" w:firstRowFirstColumn="0" w:firstRowLastColumn="0" w:lastRowFirstColumn="0" w:lastRowLastColumn="0"/>
            </w:pPr>
            <w:r>
              <w:t>EU 168/2013</w:t>
            </w:r>
          </w:p>
        </w:tc>
        <w:tc>
          <w:tcPr>
            <w:tcW w:w="2344" w:type="dxa"/>
          </w:tcPr>
          <w:p w:rsidR="00345772" w:rsidP="00345772" w:rsidRDefault="00345772" w14:paraId="61D67472" w14:textId="5292EA62">
            <w:pPr>
              <w:cnfStyle w:val="000000000000" w:firstRow="0" w:lastRow="0" w:firstColumn="0" w:lastColumn="0" w:oddVBand="0" w:evenVBand="0" w:oddHBand="0" w:evenHBand="0" w:firstRowFirstColumn="0" w:firstRowLastColumn="0" w:lastRowFirstColumn="0" w:lastRowLastColumn="0"/>
            </w:pPr>
            <w:r>
              <w:t>EU 2018/858</w:t>
            </w:r>
          </w:p>
        </w:tc>
      </w:tr>
      <w:tr w:rsidR="00D361B6" w:rsidTr="00174DF2" w14:paraId="73EAE421" w14:textId="7B3E2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9419FB" w:rsidP="009419FB" w:rsidRDefault="00D361B6" w14:paraId="24039478" w14:textId="30559FBB">
            <w:r>
              <w:t>N</w:t>
            </w:r>
            <w:r w:rsidR="009419FB">
              <w:t>ormen</w:t>
            </w:r>
          </w:p>
        </w:tc>
        <w:tc>
          <w:tcPr>
            <w:tcW w:w="2269" w:type="dxa"/>
          </w:tcPr>
          <w:p w:rsidR="009419FB" w:rsidP="009419FB" w:rsidRDefault="009419FB" w14:paraId="5D6CE6BD" w14:textId="1EFEBC56">
            <w:pPr>
              <w:cnfStyle w:val="000000100000" w:firstRow="0" w:lastRow="0" w:firstColumn="0" w:lastColumn="0" w:oddVBand="0" w:evenVBand="0" w:oddHBand="1" w:evenHBand="0" w:firstRowFirstColumn="0" w:firstRowLastColumn="0" w:lastRowFirstColumn="0" w:lastRowLastColumn="0"/>
            </w:pPr>
            <w:r>
              <w:t>ISO/NEN-EN</w:t>
            </w:r>
            <w:r w:rsidR="009F0F96">
              <w:t>*</w:t>
            </w:r>
          </w:p>
        </w:tc>
        <w:tc>
          <w:tcPr>
            <w:tcW w:w="2192" w:type="dxa"/>
          </w:tcPr>
          <w:p w:rsidR="009419FB" w:rsidP="009419FB" w:rsidRDefault="009419FB" w14:paraId="35DCD52D" w14:textId="4F28FE1D">
            <w:pPr>
              <w:cnfStyle w:val="000000100000" w:firstRow="0" w:lastRow="0" w:firstColumn="0" w:lastColumn="0" w:oddVBand="0" w:evenVBand="0" w:oddHBand="1" w:evenHBand="0" w:firstRowFirstColumn="0" w:firstRowLastColumn="0" w:lastRowFirstColumn="0" w:lastRowLastColumn="0"/>
            </w:pPr>
            <w:r>
              <w:t>EU en VN/ECE</w:t>
            </w:r>
          </w:p>
        </w:tc>
        <w:tc>
          <w:tcPr>
            <w:tcW w:w="2344" w:type="dxa"/>
          </w:tcPr>
          <w:p w:rsidR="009419FB" w:rsidP="009419FB" w:rsidRDefault="009419FB" w14:paraId="1A5B14EC" w14:textId="72A97A8B">
            <w:pPr>
              <w:cnfStyle w:val="000000100000" w:firstRow="0" w:lastRow="0" w:firstColumn="0" w:lastColumn="0" w:oddVBand="0" w:evenVBand="0" w:oddHBand="1" w:evenHBand="0" w:firstRowFirstColumn="0" w:firstRowLastColumn="0" w:lastRowFirstColumn="0" w:lastRowLastColumn="0"/>
            </w:pPr>
            <w:r>
              <w:t>EU en VN/ECE</w:t>
            </w:r>
          </w:p>
        </w:tc>
      </w:tr>
      <w:tr w:rsidR="00D361B6" w:rsidTr="00174DF2" w14:paraId="463D7F8A" w14:textId="77777777">
        <w:tc>
          <w:tcPr>
            <w:cnfStyle w:val="001000000000" w:firstRow="0" w:lastRow="0" w:firstColumn="1" w:lastColumn="0" w:oddVBand="0" w:evenVBand="0" w:oddHBand="0" w:evenHBand="0" w:firstRowFirstColumn="0" w:firstRowLastColumn="0" w:lastRowFirstColumn="0" w:lastRowLastColumn="0"/>
            <w:tcW w:w="2126" w:type="dxa"/>
          </w:tcPr>
          <w:p w:rsidR="009419FB" w:rsidP="009419FB" w:rsidRDefault="00D361B6" w14:paraId="1FF5AB00" w14:textId="2C4040F3">
            <w:r>
              <w:t>G</w:t>
            </w:r>
            <w:r w:rsidR="009419FB">
              <w:t>oedkeuring</w:t>
            </w:r>
          </w:p>
        </w:tc>
        <w:tc>
          <w:tcPr>
            <w:tcW w:w="2269" w:type="dxa"/>
          </w:tcPr>
          <w:p w:rsidR="009419FB" w:rsidP="009419FB" w:rsidRDefault="009419FB" w14:paraId="2EADE702" w14:textId="7D0E9ABC">
            <w:pPr>
              <w:cnfStyle w:val="000000000000" w:firstRow="0" w:lastRow="0" w:firstColumn="0" w:lastColumn="0" w:oddVBand="0" w:evenVBand="0" w:oddHBand="0" w:evenHBand="0" w:firstRowFirstColumn="0" w:firstRowLastColumn="0" w:lastRowFirstColumn="0" w:lastRowLastColumn="0"/>
            </w:pPr>
            <w:r>
              <w:t>zelfcertificering</w:t>
            </w:r>
          </w:p>
        </w:tc>
        <w:tc>
          <w:tcPr>
            <w:tcW w:w="2192" w:type="dxa"/>
          </w:tcPr>
          <w:p w:rsidR="009419FB" w:rsidP="009419FB" w:rsidRDefault="009419FB" w14:paraId="6084008E" w14:textId="34530E17">
            <w:pPr>
              <w:cnfStyle w:val="000000000000" w:firstRow="0" w:lastRow="0" w:firstColumn="0" w:lastColumn="0" w:oddVBand="0" w:evenVBand="0" w:oddHBand="0" w:evenHBand="0" w:firstRowFirstColumn="0" w:firstRowLastColumn="0" w:lastRowFirstColumn="0" w:lastRowLastColumn="0"/>
            </w:pPr>
            <w:r>
              <w:t>EU-typegoedkeuring</w:t>
            </w:r>
          </w:p>
        </w:tc>
        <w:tc>
          <w:tcPr>
            <w:tcW w:w="2344" w:type="dxa"/>
          </w:tcPr>
          <w:p w:rsidR="009419FB" w:rsidP="009419FB" w:rsidRDefault="009419FB" w14:paraId="431636B4" w14:textId="7150627E">
            <w:pPr>
              <w:cnfStyle w:val="000000000000" w:firstRow="0" w:lastRow="0" w:firstColumn="0" w:lastColumn="0" w:oddVBand="0" w:evenVBand="0" w:oddHBand="0" w:evenHBand="0" w:firstRowFirstColumn="0" w:firstRowLastColumn="0" w:lastRowFirstColumn="0" w:lastRowLastColumn="0"/>
            </w:pPr>
            <w:r>
              <w:t>EU-typegoedkeuring</w:t>
            </w:r>
          </w:p>
        </w:tc>
      </w:tr>
      <w:tr w:rsidR="00D361B6" w:rsidTr="00174DF2" w14:paraId="5690C5EF" w14:textId="333E5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9419FB" w:rsidP="009419FB" w:rsidRDefault="009419FB" w14:paraId="153EBC74" w14:textId="22DE5A64">
            <w:r>
              <w:t>Toezicht productie</w:t>
            </w:r>
          </w:p>
        </w:tc>
        <w:tc>
          <w:tcPr>
            <w:tcW w:w="2269" w:type="dxa"/>
          </w:tcPr>
          <w:p w:rsidR="009419FB" w:rsidP="009419FB" w:rsidRDefault="009419FB" w14:paraId="3040706F" w14:textId="473E80D3">
            <w:pPr>
              <w:cnfStyle w:val="000000100000" w:firstRow="0" w:lastRow="0" w:firstColumn="0" w:lastColumn="0" w:oddVBand="0" w:evenVBand="0" w:oddHBand="1" w:evenHBand="0" w:firstRowFirstColumn="0" w:firstRowLastColumn="0" w:lastRowFirstColumn="0" w:lastRowLastColumn="0"/>
            </w:pPr>
            <w:r>
              <w:t>n.v.t.</w:t>
            </w:r>
          </w:p>
        </w:tc>
        <w:tc>
          <w:tcPr>
            <w:tcW w:w="2192" w:type="dxa"/>
          </w:tcPr>
          <w:p w:rsidR="009419FB" w:rsidP="009419FB" w:rsidRDefault="009419FB" w14:paraId="33261217" w14:textId="43E0F7F8">
            <w:pPr>
              <w:cnfStyle w:val="000000100000" w:firstRow="0" w:lastRow="0" w:firstColumn="0" w:lastColumn="0" w:oddVBand="0" w:evenVBand="0" w:oddHBand="1" w:evenHBand="0" w:firstRowFirstColumn="0" w:firstRowLastColumn="0" w:lastRowFirstColumn="0" w:lastRowLastColumn="0"/>
            </w:pPr>
            <w:r>
              <w:t>RDW</w:t>
            </w:r>
          </w:p>
        </w:tc>
        <w:tc>
          <w:tcPr>
            <w:tcW w:w="2344" w:type="dxa"/>
          </w:tcPr>
          <w:p w:rsidR="009419FB" w:rsidP="009419FB" w:rsidRDefault="009419FB" w14:paraId="7AEA382E" w14:textId="2895AC5A">
            <w:pPr>
              <w:cnfStyle w:val="000000100000" w:firstRow="0" w:lastRow="0" w:firstColumn="0" w:lastColumn="0" w:oddVBand="0" w:evenVBand="0" w:oddHBand="1" w:evenHBand="0" w:firstRowFirstColumn="0" w:firstRowLastColumn="0" w:lastRowFirstColumn="0" w:lastRowLastColumn="0"/>
            </w:pPr>
            <w:r>
              <w:t>RDW</w:t>
            </w:r>
          </w:p>
        </w:tc>
      </w:tr>
      <w:tr w:rsidR="00D361B6" w:rsidTr="00174DF2" w14:paraId="480C4299" w14:textId="067A3AF8">
        <w:tc>
          <w:tcPr>
            <w:cnfStyle w:val="001000000000" w:firstRow="0" w:lastRow="0" w:firstColumn="1" w:lastColumn="0" w:oddVBand="0" w:evenVBand="0" w:oddHBand="0" w:evenHBand="0" w:firstRowFirstColumn="0" w:firstRowLastColumn="0" w:lastRowFirstColumn="0" w:lastRowLastColumn="0"/>
            <w:tcW w:w="2126" w:type="dxa"/>
          </w:tcPr>
          <w:p w:rsidR="009419FB" w:rsidP="009419FB" w:rsidRDefault="009419FB" w14:paraId="0B0649E7" w14:textId="1101C892">
            <w:r>
              <w:t>Markttoezicht</w:t>
            </w:r>
          </w:p>
        </w:tc>
        <w:tc>
          <w:tcPr>
            <w:tcW w:w="2269" w:type="dxa"/>
          </w:tcPr>
          <w:p w:rsidR="009419FB" w:rsidP="009419FB" w:rsidRDefault="009419FB" w14:paraId="45DE7E94" w14:textId="0C7854A5">
            <w:pPr>
              <w:cnfStyle w:val="000000000000" w:firstRow="0" w:lastRow="0" w:firstColumn="0" w:lastColumn="0" w:oddVBand="0" w:evenVBand="0" w:oddHBand="0" w:evenHBand="0" w:firstRowFirstColumn="0" w:firstRowLastColumn="0" w:lastRowFirstColumn="0" w:lastRowLastColumn="0"/>
            </w:pPr>
            <w:r>
              <w:t>NVWA</w:t>
            </w:r>
          </w:p>
        </w:tc>
        <w:tc>
          <w:tcPr>
            <w:tcW w:w="2192" w:type="dxa"/>
          </w:tcPr>
          <w:p w:rsidR="009419FB" w:rsidP="009419FB" w:rsidRDefault="009419FB" w14:paraId="03AABC73" w14:textId="7F53FBFA">
            <w:pPr>
              <w:cnfStyle w:val="000000000000" w:firstRow="0" w:lastRow="0" w:firstColumn="0" w:lastColumn="0" w:oddVBand="0" w:evenVBand="0" w:oddHBand="0" w:evenHBand="0" w:firstRowFirstColumn="0" w:firstRowLastColumn="0" w:lastRowFirstColumn="0" w:lastRowLastColumn="0"/>
            </w:pPr>
            <w:r>
              <w:t>ILT</w:t>
            </w:r>
          </w:p>
        </w:tc>
        <w:tc>
          <w:tcPr>
            <w:tcW w:w="2344" w:type="dxa"/>
          </w:tcPr>
          <w:p w:rsidR="009419FB" w:rsidP="009419FB" w:rsidRDefault="009419FB" w14:paraId="1A34F21F" w14:textId="53F6B54F">
            <w:pPr>
              <w:cnfStyle w:val="000000000000" w:firstRow="0" w:lastRow="0" w:firstColumn="0" w:lastColumn="0" w:oddVBand="0" w:evenVBand="0" w:oddHBand="0" w:evenHBand="0" w:firstRowFirstColumn="0" w:firstRowLastColumn="0" w:lastRowFirstColumn="0" w:lastRowLastColumn="0"/>
            </w:pPr>
            <w:r>
              <w:t>ILT</w:t>
            </w:r>
          </w:p>
        </w:tc>
      </w:tr>
      <w:tr w:rsidR="00D361B6" w:rsidTr="00174DF2" w14:paraId="3A8E57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D361B6" w:rsidP="009419FB" w:rsidRDefault="00D361B6" w14:paraId="299C4005" w14:textId="656C71E6">
            <w:r>
              <w:t>Permanente eisen</w:t>
            </w:r>
          </w:p>
        </w:tc>
        <w:tc>
          <w:tcPr>
            <w:tcW w:w="2269" w:type="dxa"/>
          </w:tcPr>
          <w:p w:rsidR="00D361B6" w:rsidP="009419FB" w:rsidRDefault="00D361B6" w14:paraId="6A50CE1D" w14:textId="7769690C">
            <w:pPr>
              <w:cnfStyle w:val="000000100000" w:firstRow="0" w:lastRow="0" w:firstColumn="0" w:lastColumn="0" w:oddVBand="0" w:evenVBand="0" w:oddHBand="1" w:evenHBand="0" w:firstRowFirstColumn="0" w:firstRowLastColumn="0" w:lastRowFirstColumn="0" w:lastRowLastColumn="0"/>
            </w:pPr>
            <w:r>
              <w:t>Handhaving door politie</w:t>
            </w:r>
          </w:p>
        </w:tc>
        <w:tc>
          <w:tcPr>
            <w:tcW w:w="2192" w:type="dxa"/>
          </w:tcPr>
          <w:p w:rsidR="00D361B6" w:rsidP="009419FB" w:rsidRDefault="00D361B6" w14:paraId="3900279F" w14:textId="6017FBDC">
            <w:pPr>
              <w:cnfStyle w:val="000000100000" w:firstRow="0" w:lastRow="0" w:firstColumn="0" w:lastColumn="0" w:oddVBand="0" w:evenVBand="0" w:oddHBand="1" w:evenHBand="0" w:firstRowFirstColumn="0" w:firstRowLastColumn="0" w:lastRowFirstColumn="0" w:lastRowLastColumn="0"/>
            </w:pPr>
            <w:r>
              <w:t>Handhaving door politie</w:t>
            </w:r>
          </w:p>
        </w:tc>
        <w:tc>
          <w:tcPr>
            <w:tcW w:w="2344" w:type="dxa"/>
          </w:tcPr>
          <w:p w:rsidR="00D361B6" w:rsidP="009419FB" w:rsidRDefault="00D361B6" w14:paraId="55FCC69E" w14:textId="17D5CC66">
            <w:pPr>
              <w:cnfStyle w:val="000000100000" w:firstRow="0" w:lastRow="0" w:firstColumn="0" w:lastColumn="0" w:oddVBand="0" w:evenVBand="0" w:oddHBand="1" w:evenHBand="0" w:firstRowFirstColumn="0" w:firstRowLastColumn="0" w:lastRowFirstColumn="0" w:lastRowLastColumn="0"/>
            </w:pPr>
            <w:r>
              <w:t>APK en handhaving door politie</w:t>
            </w:r>
          </w:p>
        </w:tc>
      </w:tr>
    </w:tbl>
    <w:p w:rsidRPr="00174DF2" w:rsidR="002D35B9" w:rsidP="005E2DB6" w:rsidRDefault="009F0F96" w14:paraId="7B6F9B53" w14:textId="76CA98ED">
      <w:pPr>
        <w:rPr>
          <w:i/>
          <w:iCs/>
          <w:sz w:val="16"/>
          <w:szCs w:val="16"/>
        </w:rPr>
      </w:pPr>
      <w:r w:rsidRPr="00174DF2">
        <w:rPr>
          <w:i/>
          <w:iCs/>
          <w:sz w:val="16"/>
          <w:szCs w:val="16"/>
        </w:rPr>
        <w:t>* Niet verplicht</w:t>
      </w:r>
    </w:p>
    <w:p w:rsidR="00174DF2" w:rsidRDefault="00174DF2" w14:paraId="3760FAD0" w14:textId="77777777">
      <w:pPr>
        <w:pStyle w:val="Slotzin"/>
      </w:pPr>
    </w:p>
    <w:p w:rsidR="00A57B17" w:rsidRDefault="00133E20" w14:paraId="187C3046" w14:textId="29E0FD45">
      <w:pPr>
        <w:pStyle w:val="Slotzin"/>
      </w:pPr>
      <w:r>
        <w:t>Hoogachtend,</w:t>
      </w:r>
    </w:p>
    <w:p w:rsidR="00A57B17" w:rsidRDefault="00133E20" w14:paraId="6F54A58C" w14:textId="77777777">
      <w:pPr>
        <w:pStyle w:val="OndertekeningArea1"/>
      </w:pPr>
      <w:r>
        <w:t>DE MINISTER VAN INFRASTRUCTUUR EN WATERSTAAT,</w:t>
      </w:r>
    </w:p>
    <w:p w:rsidR="00A57B17" w:rsidRDefault="00A57B17" w14:paraId="1D5FEDF0" w14:textId="77777777"/>
    <w:p w:rsidR="00A57B17" w:rsidRDefault="00A57B17" w14:paraId="0437D041" w14:textId="77777777"/>
    <w:p w:rsidR="00A57B17" w:rsidRDefault="00A57B17" w14:paraId="6C3D0CB3" w14:textId="77777777"/>
    <w:p w:rsidR="00A57B17" w:rsidRDefault="00A57B17" w14:paraId="7D1D2CFA" w14:textId="77777777"/>
    <w:p w:rsidR="00A57B17" w:rsidP="0029245A" w:rsidRDefault="00133E20" w14:paraId="06AC490B" w14:textId="59214480">
      <w:r>
        <w:t>ing. R. (Robert) Tieman</w:t>
      </w:r>
    </w:p>
    <w:sectPr w:rsidR="00A57B1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2F297" w14:textId="77777777" w:rsidR="00B25E37" w:rsidRDefault="00B25E37">
      <w:pPr>
        <w:spacing w:line="240" w:lineRule="auto"/>
      </w:pPr>
      <w:r>
        <w:separator/>
      </w:r>
    </w:p>
  </w:endnote>
  <w:endnote w:type="continuationSeparator" w:id="0">
    <w:p w14:paraId="5937E801" w14:textId="77777777" w:rsidR="00B25E37" w:rsidRDefault="00B25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DEA12" w14:textId="77777777" w:rsidR="00C65C60" w:rsidRDefault="00C65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51C8B" w14:textId="77777777" w:rsidR="00C65C60" w:rsidRDefault="00C65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C4951" w14:textId="77777777" w:rsidR="00C65C60" w:rsidRDefault="00C65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0052B" w14:textId="77777777" w:rsidR="00B25E37" w:rsidRDefault="00B25E37">
      <w:pPr>
        <w:spacing w:line="240" w:lineRule="auto"/>
      </w:pPr>
      <w:r>
        <w:separator/>
      </w:r>
    </w:p>
  </w:footnote>
  <w:footnote w:type="continuationSeparator" w:id="0">
    <w:p w14:paraId="3FED1B69" w14:textId="77777777" w:rsidR="00B25E37" w:rsidRDefault="00B25E37">
      <w:pPr>
        <w:spacing w:line="240" w:lineRule="auto"/>
      </w:pPr>
      <w:r>
        <w:continuationSeparator/>
      </w:r>
    </w:p>
  </w:footnote>
  <w:footnote w:id="1">
    <w:p w14:paraId="4AB2CB42" w14:textId="0CFCFB8B" w:rsidR="00174DF2" w:rsidRPr="00174DF2" w:rsidRDefault="00174DF2">
      <w:pPr>
        <w:pStyle w:val="FootnoteText"/>
        <w:rPr>
          <w:sz w:val="16"/>
          <w:szCs w:val="16"/>
        </w:rPr>
      </w:pPr>
      <w:r w:rsidRPr="00174DF2">
        <w:rPr>
          <w:rStyle w:val="FootnoteReference"/>
          <w:sz w:val="16"/>
          <w:szCs w:val="16"/>
        </w:rPr>
        <w:footnoteRef/>
      </w:r>
      <w:r w:rsidRPr="00174DF2">
        <w:rPr>
          <w:sz w:val="16"/>
          <w:szCs w:val="16"/>
        </w:rPr>
        <w:t xml:space="preserve"> TZ202509-054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E3DC2" w14:textId="77777777" w:rsidR="00C65C60" w:rsidRDefault="00C65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896F9" w14:textId="77777777" w:rsidR="00A57B17" w:rsidRDefault="00133E20">
    <w:r>
      <w:rPr>
        <w:noProof/>
        <w:lang w:val="en-GB" w:eastAsia="en-GB"/>
      </w:rPr>
      <mc:AlternateContent>
        <mc:Choice Requires="wps">
          <w:drawing>
            <wp:anchor distT="0" distB="0" distL="0" distR="0" simplePos="0" relativeHeight="251651584" behindDoc="0" locked="1" layoutInCell="1" allowOverlap="1" wp14:anchorId="63658F85" wp14:editId="4A3FD5D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BB80E4C" w14:textId="77777777" w:rsidR="00A57B17" w:rsidRDefault="00133E20">
                          <w:pPr>
                            <w:pStyle w:val="AfzendgegevensKop0"/>
                          </w:pPr>
                          <w:r>
                            <w:t>Ministerie van Infrastructuur en Waterstaat</w:t>
                          </w:r>
                        </w:p>
                        <w:p w14:paraId="6F0945E2" w14:textId="77777777" w:rsidR="00A57B17" w:rsidRDefault="00A57B17">
                          <w:pPr>
                            <w:pStyle w:val="WitregelW2"/>
                          </w:pPr>
                        </w:p>
                        <w:p w14:paraId="51CAEBDB" w14:textId="77777777" w:rsidR="00A57B17" w:rsidRDefault="00133E20">
                          <w:pPr>
                            <w:pStyle w:val="Referentiegegevenskop"/>
                          </w:pPr>
                          <w:r>
                            <w:t>Ons kenmerk</w:t>
                          </w:r>
                        </w:p>
                        <w:p w14:paraId="70C71B07" w14:textId="037FF3E2" w:rsidR="00A57B17" w:rsidRDefault="00133E20">
                          <w:pPr>
                            <w:pStyle w:val="Referentiegegevens"/>
                          </w:pPr>
                          <w:r>
                            <w:t>IenW/BSK-2025/</w:t>
                          </w:r>
                          <w:r w:rsidR="0029245A">
                            <w:t>242355</w:t>
                          </w:r>
                        </w:p>
                      </w:txbxContent>
                    </wps:txbx>
                    <wps:bodyPr vert="horz" wrap="square" lIns="0" tIns="0" rIns="0" bIns="0" anchor="t" anchorCtr="0"/>
                  </wps:wsp>
                </a:graphicData>
              </a:graphic>
            </wp:anchor>
          </w:drawing>
        </mc:Choice>
        <mc:Fallback>
          <w:pict>
            <v:shapetype w14:anchorId="63658F8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BB80E4C" w14:textId="77777777" w:rsidR="00A57B17" w:rsidRDefault="00133E20">
                    <w:pPr>
                      <w:pStyle w:val="AfzendgegevensKop0"/>
                    </w:pPr>
                    <w:r>
                      <w:t>Ministerie van Infrastructuur en Waterstaat</w:t>
                    </w:r>
                  </w:p>
                  <w:p w14:paraId="6F0945E2" w14:textId="77777777" w:rsidR="00A57B17" w:rsidRDefault="00A57B17">
                    <w:pPr>
                      <w:pStyle w:val="WitregelW2"/>
                    </w:pPr>
                  </w:p>
                  <w:p w14:paraId="51CAEBDB" w14:textId="77777777" w:rsidR="00A57B17" w:rsidRDefault="00133E20">
                    <w:pPr>
                      <w:pStyle w:val="Referentiegegevenskop"/>
                    </w:pPr>
                    <w:r>
                      <w:t>Ons kenmerk</w:t>
                    </w:r>
                  </w:p>
                  <w:p w14:paraId="70C71B07" w14:textId="037FF3E2" w:rsidR="00A57B17" w:rsidRDefault="00133E20">
                    <w:pPr>
                      <w:pStyle w:val="Referentiegegevens"/>
                    </w:pPr>
                    <w:r>
                      <w:t>IenW/BSK-2025/</w:t>
                    </w:r>
                    <w:r w:rsidR="0029245A">
                      <w:t>242355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DFB112B" wp14:editId="73CE485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F2D8B0" w14:textId="77777777" w:rsidR="00A57B17" w:rsidRDefault="00133E20">
                          <w:pPr>
                            <w:pStyle w:val="Referentiegegevens"/>
                          </w:pPr>
                          <w:r>
                            <w:t xml:space="preserve">Pagina </w:t>
                          </w:r>
                          <w:r>
                            <w:fldChar w:fldCharType="begin"/>
                          </w:r>
                          <w:r>
                            <w:instrText>PAGE</w:instrText>
                          </w:r>
                          <w:r>
                            <w:fldChar w:fldCharType="separate"/>
                          </w:r>
                          <w:r w:rsidR="00430FC2">
                            <w:rPr>
                              <w:noProof/>
                            </w:rPr>
                            <w:t>1</w:t>
                          </w:r>
                          <w:r>
                            <w:fldChar w:fldCharType="end"/>
                          </w:r>
                          <w:r>
                            <w:t xml:space="preserve"> van </w:t>
                          </w:r>
                          <w:r>
                            <w:fldChar w:fldCharType="begin"/>
                          </w:r>
                          <w:r>
                            <w:instrText>NUMPAGES</w:instrText>
                          </w:r>
                          <w:r>
                            <w:fldChar w:fldCharType="separate"/>
                          </w:r>
                          <w:r w:rsidR="00430FC2">
                            <w:rPr>
                              <w:noProof/>
                            </w:rPr>
                            <w:t>1</w:t>
                          </w:r>
                          <w:r>
                            <w:fldChar w:fldCharType="end"/>
                          </w:r>
                        </w:p>
                      </w:txbxContent>
                    </wps:txbx>
                    <wps:bodyPr vert="horz" wrap="square" lIns="0" tIns="0" rIns="0" bIns="0" anchor="t" anchorCtr="0"/>
                  </wps:wsp>
                </a:graphicData>
              </a:graphic>
            </wp:anchor>
          </w:drawing>
        </mc:Choice>
        <mc:Fallback>
          <w:pict>
            <v:shape w14:anchorId="0DFB112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5F2D8B0" w14:textId="77777777" w:rsidR="00A57B17" w:rsidRDefault="00133E20">
                    <w:pPr>
                      <w:pStyle w:val="Referentiegegevens"/>
                    </w:pPr>
                    <w:r>
                      <w:t xml:space="preserve">Pagina </w:t>
                    </w:r>
                    <w:r>
                      <w:fldChar w:fldCharType="begin"/>
                    </w:r>
                    <w:r>
                      <w:instrText>PAGE</w:instrText>
                    </w:r>
                    <w:r>
                      <w:fldChar w:fldCharType="separate"/>
                    </w:r>
                    <w:r w:rsidR="00430FC2">
                      <w:rPr>
                        <w:noProof/>
                      </w:rPr>
                      <w:t>1</w:t>
                    </w:r>
                    <w:r>
                      <w:fldChar w:fldCharType="end"/>
                    </w:r>
                    <w:r>
                      <w:t xml:space="preserve"> van </w:t>
                    </w:r>
                    <w:r>
                      <w:fldChar w:fldCharType="begin"/>
                    </w:r>
                    <w:r>
                      <w:instrText>NUMPAGES</w:instrText>
                    </w:r>
                    <w:r>
                      <w:fldChar w:fldCharType="separate"/>
                    </w:r>
                    <w:r w:rsidR="00430FC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BBAAB91" wp14:editId="5354B1B7">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73D99E4" w14:textId="77777777" w:rsidR="001C0E76" w:rsidRDefault="001C0E76"/>
                      </w:txbxContent>
                    </wps:txbx>
                    <wps:bodyPr vert="horz" wrap="square" lIns="0" tIns="0" rIns="0" bIns="0" anchor="t" anchorCtr="0"/>
                  </wps:wsp>
                </a:graphicData>
              </a:graphic>
            </wp:anchor>
          </w:drawing>
        </mc:Choice>
        <mc:Fallback>
          <w:pict>
            <v:shape w14:anchorId="4BBAAB9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73D99E4" w14:textId="77777777" w:rsidR="001C0E76" w:rsidRDefault="001C0E7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332A3BA" wp14:editId="78C00623">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2B28E7F" w14:textId="77777777" w:rsidR="001C0E76" w:rsidRDefault="001C0E76"/>
                      </w:txbxContent>
                    </wps:txbx>
                    <wps:bodyPr vert="horz" wrap="square" lIns="0" tIns="0" rIns="0" bIns="0" anchor="t" anchorCtr="0"/>
                  </wps:wsp>
                </a:graphicData>
              </a:graphic>
            </wp:anchor>
          </w:drawing>
        </mc:Choice>
        <mc:Fallback>
          <w:pict>
            <v:shape w14:anchorId="7332A3B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2B28E7F" w14:textId="77777777" w:rsidR="001C0E76" w:rsidRDefault="001C0E7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0931" w14:textId="77777777" w:rsidR="00A57B17" w:rsidRDefault="00133E2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9B85862" wp14:editId="3023A88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403A5B0" w14:textId="77777777" w:rsidR="001C0E76" w:rsidRDefault="001C0E76"/>
                      </w:txbxContent>
                    </wps:txbx>
                    <wps:bodyPr vert="horz" wrap="square" lIns="0" tIns="0" rIns="0" bIns="0" anchor="t" anchorCtr="0"/>
                  </wps:wsp>
                </a:graphicData>
              </a:graphic>
            </wp:anchor>
          </w:drawing>
        </mc:Choice>
        <mc:Fallback>
          <w:pict>
            <v:shapetype w14:anchorId="79B8586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403A5B0" w14:textId="77777777" w:rsidR="001C0E76" w:rsidRDefault="001C0E7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3061A4A" wp14:editId="7C2B666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3C900A" w14:textId="134CE6E4" w:rsidR="00A57B17" w:rsidRDefault="00133E20">
                          <w:pPr>
                            <w:pStyle w:val="Referentiegegevens"/>
                          </w:pPr>
                          <w:r>
                            <w:t xml:space="preserve">Pagina </w:t>
                          </w:r>
                          <w:r>
                            <w:fldChar w:fldCharType="begin"/>
                          </w:r>
                          <w:r>
                            <w:instrText>PAGE</w:instrText>
                          </w:r>
                          <w:r>
                            <w:fldChar w:fldCharType="separate"/>
                          </w:r>
                          <w:r w:rsidR="009A62C5">
                            <w:rPr>
                              <w:noProof/>
                            </w:rPr>
                            <w:t>1</w:t>
                          </w:r>
                          <w:r>
                            <w:fldChar w:fldCharType="end"/>
                          </w:r>
                          <w:r>
                            <w:t xml:space="preserve"> van </w:t>
                          </w:r>
                          <w:r>
                            <w:fldChar w:fldCharType="begin"/>
                          </w:r>
                          <w:r>
                            <w:instrText>NUMPAGES</w:instrText>
                          </w:r>
                          <w:r>
                            <w:fldChar w:fldCharType="separate"/>
                          </w:r>
                          <w:r w:rsidR="009A62C5">
                            <w:rPr>
                              <w:noProof/>
                            </w:rPr>
                            <w:t>1</w:t>
                          </w:r>
                          <w:r>
                            <w:fldChar w:fldCharType="end"/>
                          </w:r>
                        </w:p>
                      </w:txbxContent>
                    </wps:txbx>
                    <wps:bodyPr vert="horz" wrap="square" lIns="0" tIns="0" rIns="0" bIns="0" anchor="t" anchorCtr="0"/>
                  </wps:wsp>
                </a:graphicData>
              </a:graphic>
            </wp:anchor>
          </w:drawing>
        </mc:Choice>
        <mc:Fallback>
          <w:pict>
            <v:shape w14:anchorId="63061A4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23C900A" w14:textId="134CE6E4" w:rsidR="00A57B17" w:rsidRDefault="00133E20">
                    <w:pPr>
                      <w:pStyle w:val="Referentiegegevens"/>
                    </w:pPr>
                    <w:r>
                      <w:t xml:space="preserve">Pagina </w:t>
                    </w:r>
                    <w:r>
                      <w:fldChar w:fldCharType="begin"/>
                    </w:r>
                    <w:r>
                      <w:instrText>PAGE</w:instrText>
                    </w:r>
                    <w:r>
                      <w:fldChar w:fldCharType="separate"/>
                    </w:r>
                    <w:r w:rsidR="009A62C5">
                      <w:rPr>
                        <w:noProof/>
                      </w:rPr>
                      <w:t>1</w:t>
                    </w:r>
                    <w:r>
                      <w:fldChar w:fldCharType="end"/>
                    </w:r>
                    <w:r>
                      <w:t xml:space="preserve"> van </w:t>
                    </w:r>
                    <w:r>
                      <w:fldChar w:fldCharType="begin"/>
                    </w:r>
                    <w:r>
                      <w:instrText>NUMPAGES</w:instrText>
                    </w:r>
                    <w:r>
                      <w:fldChar w:fldCharType="separate"/>
                    </w:r>
                    <w:r w:rsidR="009A62C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803FE8B" wp14:editId="3C48E9D9">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C80DEA" w14:textId="77777777" w:rsidR="00A57B17" w:rsidRDefault="00133E20">
                          <w:pPr>
                            <w:pStyle w:val="AfzendgegevensKop0"/>
                          </w:pPr>
                          <w:r>
                            <w:t>Ministerie van Infrastructuur en Waterstaat</w:t>
                          </w:r>
                        </w:p>
                        <w:p w14:paraId="7CCA86EC" w14:textId="77777777" w:rsidR="00A57B17" w:rsidRDefault="00A57B17">
                          <w:pPr>
                            <w:pStyle w:val="WitregelW1"/>
                          </w:pPr>
                        </w:p>
                        <w:p w14:paraId="00A6FF6E" w14:textId="77777777" w:rsidR="00A57B17" w:rsidRDefault="00133E20">
                          <w:pPr>
                            <w:pStyle w:val="Afzendgegevens"/>
                          </w:pPr>
                          <w:r>
                            <w:t>Rijnstraat 8</w:t>
                          </w:r>
                        </w:p>
                        <w:p w14:paraId="21A1BD75" w14:textId="0C81A61B" w:rsidR="00A57B17" w:rsidRPr="00430FC2" w:rsidRDefault="00133E20">
                          <w:pPr>
                            <w:pStyle w:val="Afzendgegevens"/>
                            <w:rPr>
                              <w:lang w:val="de-DE"/>
                            </w:rPr>
                          </w:pPr>
                          <w:r w:rsidRPr="00430FC2">
                            <w:rPr>
                              <w:lang w:val="de-DE"/>
                            </w:rPr>
                            <w:t xml:space="preserve">2515 </w:t>
                          </w:r>
                          <w:r w:rsidR="008E426E" w:rsidRPr="00430FC2">
                            <w:rPr>
                              <w:lang w:val="de-DE"/>
                            </w:rPr>
                            <w:t>XP Den</w:t>
                          </w:r>
                          <w:r w:rsidRPr="00430FC2">
                            <w:rPr>
                              <w:lang w:val="de-DE"/>
                            </w:rPr>
                            <w:t xml:space="preserve"> Haag</w:t>
                          </w:r>
                        </w:p>
                        <w:p w14:paraId="54EE0892" w14:textId="77777777" w:rsidR="00A57B17" w:rsidRPr="00430FC2" w:rsidRDefault="00133E20">
                          <w:pPr>
                            <w:pStyle w:val="Afzendgegevens"/>
                            <w:rPr>
                              <w:lang w:val="de-DE"/>
                            </w:rPr>
                          </w:pPr>
                          <w:r w:rsidRPr="00430FC2">
                            <w:rPr>
                              <w:lang w:val="de-DE"/>
                            </w:rPr>
                            <w:t>Postbus 20901</w:t>
                          </w:r>
                        </w:p>
                        <w:p w14:paraId="4ACBB0ED" w14:textId="77777777" w:rsidR="00A57B17" w:rsidRPr="00430FC2" w:rsidRDefault="00133E20">
                          <w:pPr>
                            <w:pStyle w:val="Afzendgegevens"/>
                            <w:rPr>
                              <w:lang w:val="de-DE"/>
                            </w:rPr>
                          </w:pPr>
                          <w:r w:rsidRPr="00430FC2">
                            <w:rPr>
                              <w:lang w:val="de-DE"/>
                            </w:rPr>
                            <w:t>2500 EX Den Haag</w:t>
                          </w:r>
                        </w:p>
                        <w:p w14:paraId="034F5B34" w14:textId="77777777" w:rsidR="00A57B17" w:rsidRPr="00430FC2" w:rsidRDefault="00A57B17">
                          <w:pPr>
                            <w:pStyle w:val="WitregelW1"/>
                            <w:rPr>
                              <w:lang w:val="de-DE"/>
                            </w:rPr>
                          </w:pPr>
                        </w:p>
                        <w:p w14:paraId="166A8AF9" w14:textId="77777777" w:rsidR="00A57B17" w:rsidRPr="00430FC2" w:rsidRDefault="00133E20">
                          <w:pPr>
                            <w:pStyle w:val="Afzendgegevens"/>
                            <w:rPr>
                              <w:lang w:val="de-DE"/>
                            </w:rPr>
                          </w:pPr>
                          <w:r w:rsidRPr="00430FC2">
                            <w:rPr>
                              <w:lang w:val="de-DE"/>
                            </w:rPr>
                            <w:t>T   070-456 0000</w:t>
                          </w:r>
                        </w:p>
                        <w:p w14:paraId="106224F7" w14:textId="77777777" w:rsidR="00A57B17" w:rsidRDefault="00133E20">
                          <w:pPr>
                            <w:pStyle w:val="Afzendgegevens"/>
                          </w:pPr>
                          <w:r>
                            <w:t>F   070-456 1111</w:t>
                          </w:r>
                        </w:p>
                        <w:p w14:paraId="2030CC2F" w14:textId="77777777" w:rsidR="00A57B17" w:rsidRDefault="00A57B17">
                          <w:pPr>
                            <w:pStyle w:val="WitregelW2"/>
                          </w:pPr>
                        </w:p>
                        <w:p w14:paraId="0B15E040" w14:textId="77777777" w:rsidR="00A57B17" w:rsidRDefault="00133E20">
                          <w:pPr>
                            <w:pStyle w:val="Referentiegegevenskop"/>
                          </w:pPr>
                          <w:r>
                            <w:t>Ons kenmerk</w:t>
                          </w:r>
                        </w:p>
                        <w:p w14:paraId="61489B10" w14:textId="6DAFDB3B" w:rsidR="00A57B17" w:rsidRDefault="00133E20">
                          <w:pPr>
                            <w:pStyle w:val="Referentiegegevens"/>
                          </w:pPr>
                          <w:r>
                            <w:t>IenW/BSK-2025/</w:t>
                          </w:r>
                          <w:r w:rsidR="0029245A">
                            <w:t>242355</w:t>
                          </w:r>
                        </w:p>
                        <w:p w14:paraId="3971AE46" w14:textId="77777777" w:rsidR="00A57B17" w:rsidRDefault="00A57B17">
                          <w:pPr>
                            <w:pStyle w:val="WitregelW1"/>
                          </w:pPr>
                        </w:p>
                        <w:p w14:paraId="593777C3" w14:textId="77777777" w:rsidR="00A57B17" w:rsidRDefault="00133E20" w:rsidP="00C65C60">
                          <w:pPr>
                            <w:pStyle w:val="Referentiegegevenskop"/>
                            <w:spacing w:line="276" w:lineRule="auto"/>
                          </w:pPr>
                          <w:r>
                            <w:t>Uw kenmerk</w:t>
                          </w:r>
                        </w:p>
                        <w:p w14:paraId="6FE51670" w14:textId="5301B9F1" w:rsidR="00815DD0" w:rsidRPr="00815DD0" w:rsidRDefault="00815DD0" w:rsidP="00C65C60">
                          <w:pPr>
                            <w:spacing w:line="276" w:lineRule="auto"/>
                            <w:rPr>
                              <w:sz w:val="13"/>
                              <w:szCs w:val="13"/>
                            </w:rPr>
                          </w:pPr>
                          <w:r w:rsidRPr="00815DD0">
                            <w:rPr>
                              <w:sz w:val="13"/>
                              <w:szCs w:val="13"/>
                            </w:rPr>
                            <w:t>TZ202509-054</w:t>
                          </w:r>
                        </w:p>
                        <w:p w14:paraId="05BCC7C6" w14:textId="77777777" w:rsidR="00815DD0" w:rsidRPr="00815DD0" w:rsidRDefault="00815DD0" w:rsidP="00815DD0"/>
                        <w:p w14:paraId="73F1FBC0" w14:textId="77777777" w:rsidR="00A57B17" w:rsidRDefault="00133E20">
                          <w:pPr>
                            <w:pStyle w:val="Referentiegegevenskop"/>
                          </w:pPr>
                          <w:r>
                            <w:t>Bijlage(n)</w:t>
                          </w:r>
                        </w:p>
                        <w:p w14:paraId="2553F421" w14:textId="4DC9D33F" w:rsidR="00A57B17" w:rsidRDefault="008E426E">
                          <w:pPr>
                            <w:pStyle w:val="Referentiegegevens"/>
                          </w:pPr>
                          <w:r>
                            <w:t>1</w:t>
                          </w:r>
                        </w:p>
                      </w:txbxContent>
                    </wps:txbx>
                    <wps:bodyPr vert="horz" wrap="square" lIns="0" tIns="0" rIns="0" bIns="0" anchor="t" anchorCtr="0"/>
                  </wps:wsp>
                </a:graphicData>
              </a:graphic>
            </wp:anchor>
          </w:drawing>
        </mc:Choice>
        <mc:Fallback>
          <w:pict>
            <v:shape w14:anchorId="2803FE8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3C80DEA" w14:textId="77777777" w:rsidR="00A57B17" w:rsidRDefault="00133E20">
                    <w:pPr>
                      <w:pStyle w:val="AfzendgegevensKop0"/>
                    </w:pPr>
                    <w:r>
                      <w:t>Ministerie van Infrastructuur en Waterstaat</w:t>
                    </w:r>
                  </w:p>
                  <w:p w14:paraId="7CCA86EC" w14:textId="77777777" w:rsidR="00A57B17" w:rsidRDefault="00A57B17">
                    <w:pPr>
                      <w:pStyle w:val="WitregelW1"/>
                    </w:pPr>
                  </w:p>
                  <w:p w14:paraId="00A6FF6E" w14:textId="77777777" w:rsidR="00A57B17" w:rsidRDefault="00133E20">
                    <w:pPr>
                      <w:pStyle w:val="Afzendgegevens"/>
                    </w:pPr>
                    <w:r>
                      <w:t>Rijnstraat 8</w:t>
                    </w:r>
                  </w:p>
                  <w:p w14:paraId="21A1BD75" w14:textId="0C81A61B" w:rsidR="00A57B17" w:rsidRPr="00430FC2" w:rsidRDefault="00133E20">
                    <w:pPr>
                      <w:pStyle w:val="Afzendgegevens"/>
                      <w:rPr>
                        <w:lang w:val="de-DE"/>
                      </w:rPr>
                    </w:pPr>
                    <w:r w:rsidRPr="00430FC2">
                      <w:rPr>
                        <w:lang w:val="de-DE"/>
                      </w:rPr>
                      <w:t xml:space="preserve">2515 </w:t>
                    </w:r>
                    <w:r w:rsidR="008E426E" w:rsidRPr="00430FC2">
                      <w:rPr>
                        <w:lang w:val="de-DE"/>
                      </w:rPr>
                      <w:t>XP Den</w:t>
                    </w:r>
                    <w:r w:rsidRPr="00430FC2">
                      <w:rPr>
                        <w:lang w:val="de-DE"/>
                      </w:rPr>
                      <w:t xml:space="preserve"> Haag</w:t>
                    </w:r>
                  </w:p>
                  <w:p w14:paraId="54EE0892" w14:textId="77777777" w:rsidR="00A57B17" w:rsidRPr="00430FC2" w:rsidRDefault="00133E20">
                    <w:pPr>
                      <w:pStyle w:val="Afzendgegevens"/>
                      <w:rPr>
                        <w:lang w:val="de-DE"/>
                      </w:rPr>
                    </w:pPr>
                    <w:r w:rsidRPr="00430FC2">
                      <w:rPr>
                        <w:lang w:val="de-DE"/>
                      </w:rPr>
                      <w:t>Postbus 20901</w:t>
                    </w:r>
                  </w:p>
                  <w:p w14:paraId="4ACBB0ED" w14:textId="77777777" w:rsidR="00A57B17" w:rsidRPr="00430FC2" w:rsidRDefault="00133E20">
                    <w:pPr>
                      <w:pStyle w:val="Afzendgegevens"/>
                      <w:rPr>
                        <w:lang w:val="de-DE"/>
                      </w:rPr>
                    </w:pPr>
                    <w:r w:rsidRPr="00430FC2">
                      <w:rPr>
                        <w:lang w:val="de-DE"/>
                      </w:rPr>
                      <w:t>2500 EX Den Haag</w:t>
                    </w:r>
                  </w:p>
                  <w:p w14:paraId="034F5B34" w14:textId="77777777" w:rsidR="00A57B17" w:rsidRPr="00430FC2" w:rsidRDefault="00A57B17">
                    <w:pPr>
                      <w:pStyle w:val="WitregelW1"/>
                      <w:rPr>
                        <w:lang w:val="de-DE"/>
                      </w:rPr>
                    </w:pPr>
                  </w:p>
                  <w:p w14:paraId="166A8AF9" w14:textId="77777777" w:rsidR="00A57B17" w:rsidRPr="00430FC2" w:rsidRDefault="00133E20">
                    <w:pPr>
                      <w:pStyle w:val="Afzendgegevens"/>
                      <w:rPr>
                        <w:lang w:val="de-DE"/>
                      </w:rPr>
                    </w:pPr>
                    <w:r w:rsidRPr="00430FC2">
                      <w:rPr>
                        <w:lang w:val="de-DE"/>
                      </w:rPr>
                      <w:t>T   070-456 0000</w:t>
                    </w:r>
                  </w:p>
                  <w:p w14:paraId="106224F7" w14:textId="77777777" w:rsidR="00A57B17" w:rsidRDefault="00133E20">
                    <w:pPr>
                      <w:pStyle w:val="Afzendgegevens"/>
                    </w:pPr>
                    <w:r>
                      <w:t>F   070-456 1111</w:t>
                    </w:r>
                  </w:p>
                  <w:p w14:paraId="2030CC2F" w14:textId="77777777" w:rsidR="00A57B17" w:rsidRDefault="00A57B17">
                    <w:pPr>
                      <w:pStyle w:val="WitregelW2"/>
                    </w:pPr>
                  </w:p>
                  <w:p w14:paraId="0B15E040" w14:textId="77777777" w:rsidR="00A57B17" w:rsidRDefault="00133E20">
                    <w:pPr>
                      <w:pStyle w:val="Referentiegegevenskop"/>
                    </w:pPr>
                    <w:r>
                      <w:t>Ons kenmerk</w:t>
                    </w:r>
                  </w:p>
                  <w:p w14:paraId="61489B10" w14:textId="6DAFDB3B" w:rsidR="00A57B17" w:rsidRDefault="00133E20">
                    <w:pPr>
                      <w:pStyle w:val="Referentiegegevens"/>
                    </w:pPr>
                    <w:r>
                      <w:t>IenW/BSK-2025/</w:t>
                    </w:r>
                    <w:r w:rsidR="0029245A">
                      <w:t>242355</w:t>
                    </w:r>
                  </w:p>
                  <w:p w14:paraId="3971AE46" w14:textId="77777777" w:rsidR="00A57B17" w:rsidRDefault="00A57B17">
                    <w:pPr>
                      <w:pStyle w:val="WitregelW1"/>
                    </w:pPr>
                  </w:p>
                  <w:p w14:paraId="593777C3" w14:textId="77777777" w:rsidR="00A57B17" w:rsidRDefault="00133E20" w:rsidP="00C65C60">
                    <w:pPr>
                      <w:pStyle w:val="Referentiegegevenskop"/>
                      <w:spacing w:line="276" w:lineRule="auto"/>
                    </w:pPr>
                    <w:r>
                      <w:t>Uw kenmerk</w:t>
                    </w:r>
                  </w:p>
                  <w:p w14:paraId="6FE51670" w14:textId="5301B9F1" w:rsidR="00815DD0" w:rsidRPr="00815DD0" w:rsidRDefault="00815DD0" w:rsidP="00C65C60">
                    <w:pPr>
                      <w:spacing w:line="276" w:lineRule="auto"/>
                      <w:rPr>
                        <w:sz w:val="13"/>
                        <w:szCs w:val="13"/>
                      </w:rPr>
                    </w:pPr>
                    <w:r w:rsidRPr="00815DD0">
                      <w:rPr>
                        <w:sz w:val="13"/>
                        <w:szCs w:val="13"/>
                      </w:rPr>
                      <w:t>TZ202509-054</w:t>
                    </w:r>
                  </w:p>
                  <w:p w14:paraId="05BCC7C6" w14:textId="77777777" w:rsidR="00815DD0" w:rsidRPr="00815DD0" w:rsidRDefault="00815DD0" w:rsidP="00815DD0"/>
                  <w:p w14:paraId="73F1FBC0" w14:textId="77777777" w:rsidR="00A57B17" w:rsidRDefault="00133E20">
                    <w:pPr>
                      <w:pStyle w:val="Referentiegegevenskop"/>
                    </w:pPr>
                    <w:r>
                      <w:t>Bijlage(n)</w:t>
                    </w:r>
                  </w:p>
                  <w:p w14:paraId="2553F421" w14:textId="4DC9D33F" w:rsidR="00A57B17" w:rsidRDefault="008E426E">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43FEB05" wp14:editId="3327F9B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99D77A7" w14:textId="77777777" w:rsidR="00A57B17" w:rsidRDefault="00133E20">
                          <w:pPr>
                            <w:spacing w:line="240" w:lineRule="auto"/>
                          </w:pPr>
                          <w:r>
                            <w:rPr>
                              <w:noProof/>
                              <w:lang w:val="en-GB" w:eastAsia="en-GB"/>
                            </w:rPr>
                            <w:drawing>
                              <wp:inline distT="0" distB="0" distL="0" distR="0" wp14:anchorId="385ABC82" wp14:editId="0BFE882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3FEB0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99D77A7" w14:textId="77777777" w:rsidR="00A57B17" w:rsidRDefault="00133E20">
                    <w:pPr>
                      <w:spacing w:line="240" w:lineRule="auto"/>
                    </w:pPr>
                    <w:r>
                      <w:rPr>
                        <w:noProof/>
                        <w:lang w:val="en-GB" w:eastAsia="en-GB"/>
                      </w:rPr>
                      <w:drawing>
                        <wp:inline distT="0" distB="0" distL="0" distR="0" wp14:anchorId="385ABC82" wp14:editId="0BFE882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FA354E5" wp14:editId="57FC9B4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0434D8" w14:textId="77777777" w:rsidR="00A57B17" w:rsidRDefault="00133E20">
                          <w:pPr>
                            <w:spacing w:line="240" w:lineRule="auto"/>
                          </w:pPr>
                          <w:r>
                            <w:rPr>
                              <w:noProof/>
                              <w:lang w:val="en-GB" w:eastAsia="en-GB"/>
                            </w:rPr>
                            <w:drawing>
                              <wp:inline distT="0" distB="0" distL="0" distR="0" wp14:anchorId="3EBA15E3" wp14:editId="03E6778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A354E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10434D8" w14:textId="77777777" w:rsidR="00A57B17" w:rsidRDefault="00133E20">
                    <w:pPr>
                      <w:spacing w:line="240" w:lineRule="auto"/>
                    </w:pPr>
                    <w:r>
                      <w:rPr>
                        <w:noProof/>
                        <w:lang w:val="en-GB" w:eastAsia="en-GB"/>
                      </w:rPr>
                      <w:drawing>
                        <wp:inline distT="0" distB="0" distL="0" distR="0" wp14:anchorId="3EBA15E3" wp14:editId="03E6778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0DCB9B9" wp14:editId="7ECDAF0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0EBF25F" w14:textId="77777777" w:rsidR="00A57B17" w:rsidRDefault="00133E2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0DCB9B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0EBF25F" w14:textId="77777777" w:rsidR="00A57B17" w:rsidRDefault="00133E2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3C0313A" wp14:editId="6F2D52D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75BD22D" w14:textId="77777777" w:rsidR="00A57B17" w:rsidRDefault="00133E2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3C0313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75BD22D" w14:textId="77777777" w:rsidR="00A57B17" w:rsidRDefault="00133E2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8CEE01C" wp14:editId="73787766">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57B17" w14:paraId="2B77023F" w14:textId="77777777">
                            <w:trPr>
                              <w:trHeight w:val="200"/>
                            </w:trPr>
                            <w:tc>
                              <w:tcPr>
                                <w:tcW w:w="1140" w:type="dxa"/>
                              </w:tcPr>
                              <w:p w14:paraId="7987F5BC" w14:textId="77777777" w:rsidR="00A57B17" w:rsidRDefault="00A57B17"/>
                            </w:tc>
                            <w:tc>
                              <w:tcPr>
                                <w:tcW w:w="5400" w:type="dxa"/>
                              </w:tcPr>
                              <w:p w14:paraId="6FEB2854" w14:textId="77777777" w:rsidR="00A57B17" w:rsidRDefault="00A57B17"/>
                            </w:tc>
                          </w:tr>
                          <w:tr w:rsidR="00A57B17" w14:paraId="3A27F209" w14:textId="77777777">
                            <w:trPr>
                              <w:trHeight w:val="240"/>
                            </w:trPr>
                            <w:tc>
                              <w:tcPr>
                                <w:tcW w:w="1140" w:type="dxa"/>
                              </w:tcPr>
                              <w:p w14:paraId="0F9DFBBD" w14:textId="77777777" w:rsidR="00A57B17" w:rsidRDefault="00133E20">
                                <w:r>
                                  <w:t>Datum</w:t>
                                </w:r>
                              </w:p>
                            </w:tc>
                            <w:tc>
                              <w:tcPr>
                                <w:tcW w:w="5400" w:type="dxa"/>
                              </w:tcPr>
                              <w:p w14:paraId="3ACF34C3" w14:textId="694478DC" w:rsidR="00A57B17" w:rsidRDefault="00F74DC4">
                                <w:r>
                                  <w:t>13 oktober 2025</w:t>
                                </w:r>
                              </w:p>
                            </w:tc>
                          </w:tr>
                          <w:tr w:rsidR="00A57B17" w14:paraId="5E9B906D" w14:textId="77777777">
                            <w:trPr>
                              <w:trHeight w:val="240"/>
                            </w:trPr>
                            <w:tc>
                              <w:tcPr>
                                <w:tcW w:w="1140" w:type="dxa"/>
                              </w:tcPr>
                              <w:p w14:paraId="297D0AE7" w14:textId="77777777" w:rsidR="00A57B17" w:rsidRDefault="00133E20">
                                <w:r>
                                  <w:t>Betreft</w:t>
                                </w:r>
                              </w:p>
                            </w:tc>
                            <w:tc>
                              <w:tcPr>
                                <w:tcW w:w="5400" w:type="dxa"/>
                              </w:tcPr>
                              <w:p w14:paraId="3D180C45" w14:textId="77777777" w:rsidR="00A57B17" w:rsidRDefault="00133E20">
                                <w:r>
                                  <w:t>verschillen tussen elektrische fietsen en auto’s met interpretatie van de machinerichtlijn</w:t>
                                </w:r>
                              </w:p>
                            </w:tc>
                          </w:tr>
                          <w:tr w:rsidR="00A57B17" w14:paraId="5386F5A9" w14:textId="77777777">
                            <w:trPr>
                              <w:trHeight w:val="200"/>
                            </w:trPr>
                            <w:tc>
                              <w:tcPr>
                                <w:tcW w:w="1140" w:type="dxa"/>
                              </w:tcPr>
                              <w:p w14:paraId="11008BE1" w14:textId="77777777" w:rsidR="00A57B17" w:rsidRDefault="00A57B17"/>
                            </w:tc>
                            <w:tc>
                              <w:tcPr>
                                <w:tcW w:w="5400" w:type="dxa"/>
                              </w:tcPr>
                              <w:p w14:paraId="5D02E7E4" w14:textId="77777777" w:rsidR="00A57B17" w:rsidRDefault="00A57B17"/>
                            </w:tc>
                          </w:tr>
                        </w:tbl>
                        <w:p w14:paraId="7B8B3A72" w14:textId="77777777" w:rsidR="001C0E76" w:rsidRDefault="001C0E76"/>
                      </w:txbxContent>
                    </wps:txbx>
                    <wps:bodyPr vert="horz" wrap="square" lIns="0" tIns="0" rIns="0" bIns="0" anchor="t" anchorCtr="0"/>
                  </wps:wsp>
                </a:graphicData>
              </a:graphic>
            </wp:anchor>
          </w:drawing>
        </mc:Choice>
        <mc:Fallback>
          <w:pict>
            <v:shape w14:anchorId="38CEE01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57B17" w14:paraId="2B77023F" w14:textId="77777777">
                      <w:trPr>
                        <w:trHeight w:val="200"/>
                      </w:trPr>
                      <w:tc>
                        <w:tcPr>
                          <w:tcW w:w="1140" w:type="dxa"/>
                        </w:tcPr>
                        <w:p w14:paraId="7987F5BC" w14:textId="77777777" w:rsidR="00A57B17" w:rsidRDefault="00A57B17"/>
                      </w:tc>
                      <w:tc>
                        <w:tcPr>
                          <w:tcW w:w="5400" w:type="dxa"/>
                        </w:tcPr>
                        <w:p w14:paraId="6FEB2854" w14:textId="77777777" w:rsidR="00A57B17" w:rsidRDefault="00A57B17"/>
                      </w:tc>
                    </w:tr>
                    <w:tr w:rsidR="00A57B17" w14:paraId="3A27F209" w14:textId="77777777">
                      <w:trPr>
                        <w:trHeight w:val="240"/>
                      </w:trPr>
                      <w:tc>
                        <w:tcPr>
                          <w:tcW w:w="1140" w:type="dxa"/>
                        </w:tcPr>
                        <w:p w14:paraId="0F9DFBBD" w14:textId="77777777" w:rsidR="00A57B17" w:rsidRDefault="00133E20">
                          <w:r>
                            <w:t>Datum</w:t>
                          </w:r>
                        </w:p>
                      </w:tc>
                      <w:tc>
                        <w:tcPr>
                          <w:tcW w:w="5400" w:type="dxa"/>
                        </w:tcPr>
                        <w:p w14:paraId="3ACF34C3" w14:textId="694478DC" w:rsidR="00A57B17" w:rsidRDefault="00F74DC4">
                          <w:r>
                            <w:t>13 oktober 2025</w:t>
                          </w:r>
                        </w:p>
                      </w:tc>
                    </w:tr>
                    <w:tr w:rsidR="00A57B17" w14:paraId="5E9B906D" w14:textId="77777777">
                      <w:trPr>
                        <w:trHeight w:val="240"/>
                      </w:trPr>
                      <w:tc>
                        <w:tcPr>
                          <w:tcW w:w="1140" w:type="dxa"/>
                        </w:tcPr>
                        <w:p w14:paraId="297D0AE7" w14:textId="77777777" w:rsidR="00A57B17" w:rsidRDefault="00133E20">
                          <w:r>
                            <w:t>Betreft</w:t>
                          </w:r>
                        </w:p>
                      </w:tc>
                      <w:tc>
                        <w:tcPr>
                          <w:tcW w:w="5400" w:type="dxa"/>
                        </w:tcPr>
                        <w:p w14:paraId="3D180C45" w14:textId="77777777" w:rsidR="00A57B17" w:rsidRDefault="00133E20">
                          <w:r>
                            <w:t>verschillen tussen elektrische fietsen en auto’s met interpretatie van de machinerichtlijn</w:t>
                          </w:r>
                        </w:p>
                      </w:tc>
                    </w:tr>
                    <w:tr w:rsidR="00A57B17" w14:paraId="5386F5A9" w14:textId="77777777">
                      <w:trPr>
                        <w:trHeight w:val="200"/>
                      </w:trPr>
                      <w:tc>
                        <w:tcPr>
                          <w:tcW w:w="1140" w:type="dxa"/>
                        </w:tcPr>
                        <w:p w14:paraId="11008BE1" w14:textId="77777777" w:rsidR="00A57B17" w:rsidRDefault="00A57B17"/>
                      </w:tc>
                      <w:tc>
                        <w:tcPr>
                          <w:tcW w:w="5400" w:type="dxa"/>
                        </w:tcPr>
                        <w:p w14:paraId="5D02E7E4" w14:textId="77777777" w:rsidR="00A57B17" w:rsidRDefault="00A57B17"/>
                      </w:tc>
                    </w:tr>
                  </w:tbl>
                  <w:p w14:paraId="7B8B3A72" w14:textId="77777777" w:rsidR="001C0E76" w:rsidRDefault="001C0E7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F896D1A" wp14:editId="062B71C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8D7923C" w14:textId="77777777" w:rsidR="001C0E76" w:rsidRDefault="001C0E76"/>
                      </w:txbxContent>
                    </wps:txbx>
                    <wps:bodyPr vert="horz" wrap="square" lIns="0" tIns="0" rIns="0" bIns="0" anchor="t" anchorCtr="0"/>
                  </wps:wsp>
                </a:graphicData>
              </a:graphic>
            </wp:anchor>
          </w:drawing>
        </mc:Choice>
        <mc:Fallback>
          <w:pict>
            <v:shape w14:anchorId="6F896D1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8D7923C" w14:textId="77777777" w:rsidR="001C0E76" w:rsidRDefault="001C0E7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F57EB4"/>
    <w:multiLevelType w:val="multilevel"/>
    <w:tmpl w:val="A20F985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AD834DC"/>
    <w:multiLevelType w:val="multilevel"/>
    <w:tmpl w:val="DC979F0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D19577F"/>
    <w:multiLevelType w:val="multilevel"/>
    <w:tmpl w:val="5947FBB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7F7F4F0"/>
    <w:multiLevelType w:val="multilevel"/>
    <w:tmpl w:val="760D50F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BD79428"/>
    <w:multiLevelType w:val="multilevel"/>
    <w:tmpl w:val="BD96113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8AA17A"/>
    <w:multiLevelType w:val="multilevel"/>
    <w:tmpl w:val="B3133AE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0964334"/>
    <w:multiLevelType w:val="multilevel"/>
    <w:tmpl w:val="F953A2E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FBEE851"/>
    <w:multiLevelType w:val="multilevel"/>
    <w:tmpl w:val="3D9080E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412D838"/>
    <w:multiLevelType w:val="multilevel"/>
    <w:tmpl w:val="99D5C5F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021240"/>
    <w:multiLevelType w:val="multilevel"/>
    <w:tmpl w:val="1F527F3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782C89D"/>
    <w:multiLevelType w:val="multilevel"/>
    <w:tmpl w:val="EE63A68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20ADBC"/>
    <w:multiLevelType w:val="multilevel"/>
    <w:tmpl w:val="845D9C6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F30715"/>
    <w:multiLevelType w:val="multilevel"/>
    <w:tmpl w:val="17DE3E1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CD7C0A"/>
    <w:multiLevelType w:val="multilevel"/>
    <w:tmpl w:val="B254BEA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8DAA98"/>
    <w:multiLevelType w:val="multilevel"/>
    <w:tmpl w:val="A921D37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376721B7"/>
    <w:multiLevelType w:val="multilevel"/>
    <w:tmpl w:val="57070F9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4778DF"/>
    <w:multiLevelType w:val="multilevel"/>
    <w:tmpl w:val="1F90ECF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A7149B"/>
    <w:multiLevelType w:val="multilevel"/>
    <w:tmpl w:val="5204917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5C29FA"/>
    <w:multiLevelType w:val="multilevel"/>
    <w:tmpl w:val="F32F11E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977E66"/>
    <w:multiLevelType w:val="multilevel"/>
    <w:tmpl w:val="D7B0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9B52B8"/>
    <w:multiLevelType w:val="multilevel"/>
    <w:tmpl w:val="8B0B89A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D31C33"/>
    <w:multiLevelType w:val="multilevel"/>
    <w:tmpl w:val="00FC0F02"/>
    <w:lvl w:ilvl="0">
      <w:numFmt w:val="bullet"/>
      <w:lvlText w:val="-"/>
      <w:lvlJc w:val="left"/>
      <w:pPr>
        <w:tabs>
          <w:tab w:val="num" w:pos="720"/>
        </w:tabs>
        <w:ind w:left="720" w:hanging="360"/>
      </w:pPr>
      <w:rPr>
        <w:rFonts w:ascii="Verdana" w:eastAsia="DejaVu Sans" w:hAnsi="Verdana" w:cs="Lohit Hin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E9EB94"/>
    <w:multiLevelType w:val="multilevel"/>
    <w:tmpl w:val="2CB22C1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77C404"/>
    <w:multiLevelType w:val="multilevel"/>
    <w:tmpl w:val="E05DC27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054C40"/>
    <w:multiLevelType w:val="multilevel"/>
    <w:tmpl w:val="E3FE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DF6488"/>
    <w:multiLevelType w:val="hybridMultilevel"/>
    <w:tmpl w:val="D0FE5E96"/>
    <w:lvl w:ilvl="0" w:tplc="2E060BB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BC69FF"/>
    <w:multiLevelType w:val="multilevel"/>
    <w:tmpl w:val="C09ACD3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0"/>
  </w:num>
  <w:num w:numId="3">
    <w:abstractNumId w:val="15"/>
  </w:num>
  <w:num w:numId="4">
    <w:abstractNumId w:val="4"/>
  </w:num>
  <w:num w:numId="5">
    <w:abstractNumId w:val="14"/>
  </w:num>
  <w:num w:numId="6">
    <w:abstractNumId w:val="12"/>
  </w:num>
  <w:num w:numId="7">
    <w:abstractNumId w:val="1"/>
  </w:num>
  <w:num w:numId="8">
    <w:abstractNumId w:val="17"/>
  </w:num>
  <w:num w:numId="9">
    <w:abstractNumId w:val="7"/>
  </w:num>
  <w:num w:numId="10">
    <w:abstractNumId w:val="20"/>
  </w:num>
  <w:num w:numId="11">
    <w:abstractNumId w:val="22"/>
  </w:num>
  <w:num w:numId="12">
    <w:abstractNumId w:val="2"/>
  </w:num>
  <w:num w:numId="13">
    <w:abstractNumId w:val="13"/>
  </w:num>
  <w:num w:numId="14">
    <w:abstractNumId w:val="11"/>
  </w:num>
  <w:num w:numId="15">
    <w:abstractNumId w:val="6"/>
  </w:num>
  <w:num w:numId="16">
    <w:abstractNumId w:val="18"/>
  </w:num>
  <w:num w:numId="17">
    <w:abstractNumId w:val="23"/>
  </w:num>
  <w:num w:numId="18">
    <w:abstractNumId w:val="16"/>
  </w:num>
  <w:num w:numId="19">
    <w:abstractNumId w:val="5"/>
  </w:num>
  <w:num w:numId="20">
    <w:abstractNumId w:val="0"/>
  </w:num>
  <w:num w:numId="21">
    <w:abstractNumId w:val="3"/>
  </w:num>
  <w:num w:numId="22">
    <w:abstractNumId w:val="26"/>
  </w:num>
  <w:num w:numId="23">
    <w:abstractNumId w:val="9"/>
  </w:num>
  <w:num w:numId="24">
    <w:abstractNumId w:val="25"/>
  </w:num>
  <w:num w:numId="25">
    <w:abstractNumId w:val="24"/>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FC2"/>
    <w:rsid w:val="00033169"/>
    <w:rsid w:val="001102DB"/>
    <w:rsid w:val="00133E20"/>
    <w:rsid w:val="001530E6"/>
    <w:rsid w:val="00174DF2"/>
    <w:rsid w:val="0019672C"/>
    <w:rsid w:val="001B10F6"/>
    <w:rsid w:val="001C0E76"/>
    <w:rsid w:val="001C1D6A"/>
    <w:rsid w:val="00220284"/>
    <w:rsid w:val="00224E73"/>
    <w:rsid w:val="002341F6"/>
    <w:rsid w:val="00255EBD"/>
    <w:rsid w:val="00274151"/>
    <w:rsid w:val="00275C4F"/>
    <w:rsid w:val="0029245A"/>
    <w:rsid w:val="002B3B2B"/>
    <w:rsid w:val="002D35B9"/>
    <w:rsid w:val="002F13B7"/>
    <w:rsid w:val="00303716"/>
    <w:rsid w:val="00331635"/>
    <w:rsid w:val="00345772"/>
    <w:rsid w:val="00380BC5"/>
    <w:rsid w:val="003F3B55"/>
    <w:rsid w:val="004214C8"/>
    <w:rsid w:val="00430FC2"/>
    <w:rsid w:val="00470364"/>
    <w:rsid w:val="004D32E2"/>
    <w:rsid w:val="004D738B"/>
    <w:rsid w:val="004E688E"/>
    <w:rsid w:val="004F1B43"/>
    <w:rsid w:val="00500E32"/>
    <w:rsid w:val="00502D1E"/>
    <w:rsid w:val="00506DDE"/>
    <w:rsid w:val="00521246"/>
    <w:rsid w:val="00570ABC"/>
    <w:rsid w:val="005714BF"/>
    <w:rsid w:val="00573145"/>
    <w:rsid w:val="00576F2A"/>
    <w:rsid w:val="005B7C55"/>
    <w:rsid w:val="005C6D80"/>
    <w:rsid w:val="005E2DB6"/>
    <w:rsid w:val="006006BC"/>
    <w:rsid w:val="0060157B"/>
    <w:rsid w:val="006061BC"/>
    <w:rsid w:val="0062211C"/>
    <w:rsid w:val="006239FB"/>
    <w:rsid w:val="00626450"/>
    <w:rsid w:val="006453C6"/>
    <w:rsid w:val="0066738A"/>
    <w:rsid w:val="006C36DD"/>
    <w:rsid w:val="006D24C8"/>
    <w:rsid w:val="007023FC"/>
    <w:rsid w:val="00716D99"/>
    <w:rsid w:val="00737E0F"/>
    <w:rsid w:val="0076256A"/>
    <w:rsid w:val="00771E88"/>
    <w:rsid w:val="007F3402"/>
    <w:rsid w:val="00815DD0"/>
    <w:rsid w:val="0083551E"/>
    <w:rsid w:val="00835825"/>
    <w:rsid w:val="00840F96"/>
    <w:rsid w:val="00842717"/>
    <w:rsid w:val="00847676"/>
    <w:rsid w:val="0085207A"/>
    <w:rsid w:val="00852FE8"/>
    <w:rsid w:val="0086643C"/>
    <w:rsid w:val="00867051"/>
    <w:rsid w:val="008B43D7"/>
    <w:rsid w:val="008C45B5"/>
    <w:rsid w:val="008D1E81"/>
    <w:rsid w:val="008E426E"/>
    <w:rsid w:val="008F23B8"/>
    <w:rsid w:val="00905100"/>
    <w:rsid w:val="00912D3B"/>
    <w:rsid w:val="00935E79"/>
    <w:rsid w:val="009419FB"/>
    <w:rsid w:val="0097145B"/>
    <w:rsid w:val="00982876"/>
    <w:rsid w:val="009A62C5"/>
    <w:rsid w:val="009A63BE"/>
    <w:rsid w:val="009B11B7"/>
    <w:rsid w:val="009C1822"/>
    <w:rsid w:val="009F0F96"/>
    <w:rsid w:val="00A46782"/>
    <w:rsid w:val="00A57B17"/>
    <w:rsid w:val="00A66C02"/>
    <w:rsid w:val="00A807DE"/>
    <w:rsid w:val="00A91AA9"/>
    <w:rsid w:val="00AC20EF"/>
    <w:rsid w:val="00B07CB9"/>
    <w:rsid w:val="00B10D31"/>
    <w:rsid w:val="00B25E37"/>
    <w:rsid w:val="00B3425A"/>
    <w:rsid w:val="00B44220"/>
    <w:rsid w:val="00B52022"/>
    <w:rsid w:val="00B87223"/>
    <w:rsid w:val="00BA51CA"/>
    <w:rsid w:val="00BB7521"/>
    <w:rsid w:val="00BC2D1F"/>
    <w:rsid w:val="00BD7A9C"/>
    <w:rsid w:val="00BE1F64"/>
    <w:rsid w:val="00BE49B2"/>
    <w:rsid w:val="00C02F14"/>
    <w:rsid w:val="00C479C5"/>
    <w:rsid w:val="00C61640"/>
    <w:rsid w:val="00C62C19"/>
    <w:rsid w:val="00C65C60"/>
    <w:rsid w:val="00C828E5"/>
    <w:rsid w:val="00C93052"/>
    <w:rsid w:val="00CA190C"/>
    <w:rsid w:val="00D04324"/>
    <w:rsid w:val="00D22F58"/>
    <w:rsid w:val="00D361B6"/>
    <w:rsid w:val="00D568A2"/>
    <w:rsid w:val="00D60071"/>
    <w:rsid w:val="00D6752B"/>
    <w:rsid w:val="00D878C4"/>
    <w:rsid w:val="00D911EE"/>
    <w:rsid w:val="00DA5C53"/>
    <w:rsid w:val="00DA6EDF"/>
    <w:rsid w:val="00DB074D"/>
    <w:rsid w:val="00DE0E34"/>
    <w:rsid w:val="00DF18BB"/>
    <w:rsid w:val="00E17B4F"/>
    <w:rsid w:val="00E26662"/>
    <w:rsid w:val="00E55853"/>
    <w:rsid w:val="00E60169"/>
    <w:rsid w:val="00E70EE1"/>
    <w:rsid w:val="00E71294"/>
    <w:rsid w:val="00E958CF"/>
    <w:rsid w:val="00EB30CB"/>
    <w:rsid w:val="00EE7579"/>
    <w:rsid w:val="00EF465E"/>
    <w:rsid w:val="00F0381B"/>
    <w:rsid w:val="00F74DC4"/>
    <w:rsid w:val="00FA7A28"/>
    <w:rsid w:val="00FB4B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30FC2"/>
    <w:pPr>
      <w:tabs>
        <w:tab w:val="center" w:pos="4536"/>
        <w:tab w:val="right" w:pos="9072"/>
      </w:tabs>
      <w:spacing w:line="240" w:lineRule="auto"/>
    </w:pPr>
  </w:style>
  <w:style w:type="character" w:customStyle="1" w:styleId="HeaderChar">
    <w:name w:val="Header Char"/>
    <w:basedOn w:val="DefaultParagraphFont"/>
    <w:link w:val="Header"/>
    <w:uiPriority w:val="99"/>
    <w:rsid w:val="00430FC2"/>
    <w:rPr>
      <w:rFonts w:ascii="Verdana" w:hAnsi="Verdana"/>
      <w:color w:val="000000"/>
      <w:sz w:val="18"/>
      <w:szCs w:val="18"/>
    </w:rPr>
  </w:style>
  <w:style w:type="paragraph" w:styleId="Footer">
    <w:name w:val="footer"/>
    <w:basedOn w:val="Normal"/>
    <w:link w:val="FooterChar"/>
    <w:uiPriority w:val="99"/>
    <w:unhideWhenUsed/>
    <w:rsid w:val="00430FC2"/>
    <w:pPr>
      <w:tabs>
        <w:tab w:val="center" w:pos="4536"/>
        <w:tab w:val="right" w:pos="9072"/>
      </w:tabs>
      <w:spacing w:line="240" w:lineRule="auto"/>
    </w:pPr>
  </w:style>
  <w:style w:type="character" w:customStyle="1" w:styleId="FooterChar">
    <w:name w:val="Footer Char"/>
    <w:basedOn w:val="DefaultParagraphFont"/>
    <w:link w:val="Footer"/>
    <w:uiPriority w:val="99"/>
    <w:rsid w:val="00430FC2"/>
    <w:rPr>
      <w:rFonts w:ascii="Verdana" w:hAnsi="Verdana"/>
      <w:color w:val="000000"/>
      <w:sz w:val="18"/>
      <w:szCs w:val="18"/>
    </w:rPr>
  </w:style>
  <w:style w:type="paragraph" w:styleId="ListParagraph">
    <w:name w:val="List Paragraph"/>
    <w:basedOn w:val="Normal"/>
    <w:uiPriority w:val="34"/>
    <w:semiHidden/>
    <w:rsid w:val="00840F96"/>
    <w:pPr>
      <w:ind w:left="720"/>
      <w:contextualSpacing/>
    </w:pPr>
  </w:style>
  <w:style w:type="paragraph" w:customStyle="1" w:styleId="al">
    <w:name w:val="al"/>
    <w:basedOn w:val="Normal"/>
    <w:rsid w:val="00255EB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UnresolvedMention">
    <w:name w:val="Unresolved Mention"/>
    <w:basedOn w:val="DefaultParagraphFont"/>
    <w:uiPriority w:val="99"/>
    <w:semiHidden/>
    <w:unhideWhenUsed/>
    <w:rsid w:val="00AC20EF"/>
    <w:rPr>
      <w:color w:val="605E5C"/>
      <w:shd w:val="clear" w:color="auto" w:fill="E1DFDD"/>
    </w:rPr>
  </w:style>
  <w:style w:type="table" w:styleId="TableGrid">
    <w:name w:val="Table Grid"/>
    <w:basedOn w:val="TableNormal"/>
    <w:uiPriority w:val="39"/>
    <w:rsid w:val="006D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49B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52FE8"/>
    <w:rPr>
      <w:sz w:val="16"/>
      <w:szCs w:val="16"/>
    </w:rPr>
  </w:style>
  <w:style w:type="paragraph" w:styleId="CommentText">
    <w:name w:val="annotation text"/>
    <w:basedOn w:val="Normal"/>
    <w:link w:val="CommentTextChar"/>
    <w:uiPriority w:val="99"/>
    <w:unhideWhenUsed/>
    <w:rsid w:val="00852FE8"/>
    <w:pPr>
      <w:spacing w:line="240" w:lineRule="auto"/>
    </w:pPr>
    <w:rPr>
      <w:sz w:val="20"/>
      <w:szCs w:val="20"/>
    </w:rPr>
  </w:style>
  <w:style w:type="character" w:customStyle="1" w:styleId="CommentTextChar">
    <w:name w:val="Comment Text Char"/>
    <w:basedOn w:val="DefaultParagraphFont"/>
    <w:link w:val="CommentText"/>
    <w:uiPriority w:val="99"/>
    <w:rsid w:val="00852FE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52FE8"/>
    <w:rPr>
      <w:b/>
      <w:bCs/>
    </w:rPr>
  </w:style>
  <w:style w:type="character" w:customStyle="1" w:styleId="CommentSubjectChar">
    <w:name w:val="Comment Subject Char"/>
    <w:basedOn w:val="CommentTextChar"/>
    <w:link w:val="CommentSubject"/>
    <w:uiPriority w:val="99"/>
    <w:semiHidden/>
    <w:rsid w:val="00852FE8"/>
    <w:rPr>
      <w:rFonts w:ascii="Verdana" w:hAnsi="Verdana"/>
      <w:b/>
      <w:bCs/>
      <w:color w:val="000000"/>
    </w:rPr>
  </w:style>
  <w:style w:type="table" w:styleId="PlainTable5">
    <w:name w:val="Plain Table 5"/>
    <w:basedOn w:val="TableNormal"/>
    <w:uiPriority w:val="45"/>
    <w:rsid w:val="00174DF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174DF2"/>
    <w:pPr>
      <w:spacing w:line="240" w:lineRule="auto"/>
    </w:pPr>
    <w:rPr>
      <w:sz w:val="20"/>
      <w:szCs w:val="20"/>
    </w:rPr>
  </w:style>
  <w:style w:type="character" w:customStyle="1" w:styleId="FootnoteTextChar">
    <w:name w:val="Footnote Text Char"/>
    <w:basedOn w:val="DefaultParagraphFont"/>
    <w:link w:val="FootnoteText"/>
    <w:uiPriority w:val="99"/>
    <w:semiHidden/>
    <w:rsid w:val="00174DF2"/>
    <w:rPr>
      <w:rFonts w:ascii="Verdana" w:hAnsi="Verdana"/>
      <w:color w:val="000000"/>
    </w:rPr>
  </w:style>
  <w:style w:type="character" w:styleId="FootnoteReference">
    <w:name w:val="footnote reference"/>
    <w:basedOn w:val="DefaultParagraphFont"/>
    <w:uiPriority w:val="99"/>
    <w:semiHidden/>
    <w:unhideWhenUsed/>
    <w:rsid w:val="00174D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0486">
      <w:bodyDiv w:val="1"/>
      <w:marLeft w:val="0"/>
      <w:marRight w:val="0"/>
      <w:marTop w:val="0"/>
      <w:marBottom w:val="0"/>
      <w:divBdr>
        <w:top w:val="none" w:sz="0" w:space="0" w:color="auto"/>
        <w:left w:val="none" w:sz="0" w:space="0" w:color="auto"/>
        <w:bottom w:val="none" w:sz="0" w:space="0" w:color="auto"/>
        <w:right w:val="none" w:sz="0" w:space="0" w:color="auto"/>
      </w:divBdr>
    </w:div>
    <w:div w:id="630012860">
      <w:bodyDiv w:val="1"/>
      <w:marLeft w:val="0"/>
      <w:marRight w:val="0"/>
      <w:marTop w:val="0"/>
      <w:marBottom w:val="0"/>
      <w:divBdr>
        <w:top w:val="none" w:sz="0" w:space="0" w:color="auto"/>
        <w:left w:val="none" w:sz="0" w:space="0" w:color="auto"/>
        <w:bottom w:val="none" w:sz="0" w:space="0" w:color="auto"/>
        <w:right w:val="none" w:sz="0" w:space="0" w:color="auto"/>
      </w:divBdr>
    </w:div>
    <w:div w:id="693459601">
      <w:bodyDiv w:val="1"/>
      <w:marLeft w:val="0"/>
      <w:marRight w:val="0"/>
      <w:marTop w:val="0"/>
      <w:marBottom w:val="0"/>
      <w:divBdr>
        <w:top w:val="none" w:sz="0" w:space="0" w:color="auto"/>
        <w:left w:val="none" w:sz="0" w:space="0" w:color="auto"/>
        <w:bottom w:val="none" w:sz="0" w:space="0" w:color="auto"/>
        <w:right w:val="none" w:sz="0" w:space="0" w:color="auto"/>
      </w:divBdr>
    </w:div>
    <w:div w:id="756635564">
      <w:bodyDiv w:val="1"/>
      <w:marLeft w:val="0"/>
      <w:marRight w:val="0"/>
      <w:marTop w:val="0"/>
      <w:marBottom w:val="0"/>
      <w:divBdr>
        <w:top w:val="none" w:sz="0" w:space="0" w:color="auto"/>
        <w:left w:val="none" w:sz="0" w:space="0" w:color="auto"/>
        <w:bottom w:val="none" w:sz="0" w:space="0" w:color="auto"/>
        <w:right w:val="none" w:sz="0" w:space="0" w:color="auto"/>
      </w:divBdr>
    </w:div>
    <w:div w:id="863250773">
      <w:bodyDiv w:val="1"/>
      <w:marLeft w:val="0"/>
      <w:marRight w:val="0"/>
      <w:marTop w:val="0"/>
      <w:marBottom w:val="0"/>
      <w:divBdr>
        <w:top w:val="none" w:sz="0" w:space="0" w:color="auto"/>
        <w:left w:val="none" w:sz="0" w:space="0" w:color="auto"/>
        <w:bottom w:val="none" w:sz="0" w:space="0" w:color="auto"/>
        <w:right w:val="none" w:sz="0" w:space="0" w:color="auto"/>
      </w:divBdr>
    </w:div>
    <w:div w:id="1473986137">
      <w:bodyDiv w:val="1"/>
      <w:marLeft w:val="0"/>
      <w:marRight w:val="0"/>
      <w:marTop w:val="0"/>
      <w:marBottom w:val="0"/>
      <w:divBdr>
        <w:top w:val="none" w:sz="0" w:space="0" w:color="auto"/>
        <w:left w:val="none" w:sz="0" w:space="0" w:color="auto"/>
        <w:bottom w:val="none" w:sz="0" w:space="0" w:color="auto"/>
        <w:right w:val="none" w:sz="0" w:space="0" w:color="auto"/>
      </w:divBdr>
    </w:div>
    <w:div w:id="1990745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1395</ap:Words>
  <ap:Characters>7958</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aan Parlement - verschillen tussen elektrische fietsen en auto’s met interpretatie van de machinerichtlijn</vt:lpstr>
    </vt:vector>
  </ap:TitlesOfParts>
  <ap:LinksUpToDate>false</ap:LinksUpToDate>
  <ap:CharactersWithSpaces>9335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2025-09-18T10:10:00.0000000Z</lastPrinted>
  <dcterms:created xsi:type="dcterms:W3CDTF">2025-10-13T11:08:00.0000000Z</dcterms:created>
  <dcterms:modified xsi:type="dcterms:W3CDTF">2025-10-13T11:08:00.0000000Z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verschillen tussen elektrische fietsen en auto’s met interpretatie van de machinerichtlijn</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B.J. Stolte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