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E09" w:rsidRDefault="00D67E09" w14:paraId="4E9EC3AB" w14:textId="77777777">
      <w:bookmarkStart w:name="_GoBack" w:id="0"/>
      <w:bookmarkEnd w:id="0"/>
      <w:r>
        <w:t>Geachte voorzitter,</w:t>
      </w:r>
    </w:p>
    <w:p w:rsidRPr="00F429FB" w:rsidR="00E61613" w:rsidRDefault="0048492B" w14:paraId="4F7A0656" w14:textId="27706ABD">
      <w:pPr>
        <w:pStyle w:val="Slotzin"/>
      </w:pPr>
      <w:r>
        <w:t xml:space="preserve">De Nederlandse economie opereert in </w:t>
      </w:r>
      <w:r w:rsidRPr="00EF0952" w:rsidR="00E94042">
        <w:t>een geopolitiek krachtenveld dat razendsnel verandert</w:t>
      </w:r>
      <w:r w:rsidR="00E94042">
        <w:t>.</w:t>
      </w:r>
      <w:r w:rsidR="00595CEE">
        <w:t xml:space="preserve"> </w:t>
      </w:r>
      <w:r w:rsidRPr="00595CEE" w:rsidR="00595CEE">
        <w:t>Kritieke grondstoffen zijn cruciaal voor onze economie en veiligheid. De beschikbaarheid en toegang tot deze grondstoffen wordt echter steeds meer een punt van zorg.</w:t>
      </w:r>
      <w:r w:rsidR="00E94042">
        <w:t xml:space="preserve"> </w:t>
      </w:r>
      <w:r w:rsidR="006F104E">
        <w:t xml:space="preserve">Het overgrote deel van de (kritieke) grondstoffen </w:t>
      </w:r>
      <w:r w:rsidR="00B23E33">
        <w:t>word</w:t>
      </w:r>
      <w:r w:rsidR="00814C4B">
        <w:t>t</w:t>
      </w:r>
      <w:r w:rsidR="00B23E33">
        <w:t xml:space="preserve"> buiten Europa gewonnen en verwerkt</w:t>
      </w:r>
      <w:r w:rsidR="008C137C">
        <w:t>.</w:t>
      </w:r>
      <w:r w:rsidR="005D1DC6">
        <w:t xml:space="preserve"> </w:t>
      </w:r>
    </w:p>
    <w:p w:rsidRPr="00E27853" w:rsidR="00E27853" w:rsidP="00595CEE" w:rsidRDefault="00DE35C0" w14:paraId="12C5BE72" w14:textId="6954D175">
      <w:pPr>
        <w:pStyle w:val="Slotzin"/>
      </w:pPr>
      <w:r>
        <w:t xml:space="preserve">De huidige omgang met </w:t>
      </w:r>
      <w:r w:rsidR="00697DDD">
        <w:t xml:space="preserve">die </w:t>
      </w:r>
      <w:r>
        <w:t xml:space="preserve">primaire grondstoffen is niet </w:t>
      </w:r>
      <w:r w:rsidR="00407B33">
        <w:t>vol te houden</w:t>
      </w:r>
      <w:r>
        <w:t xml:space="preserve">, we gooien veel weg </w:t>
      </w:r>
      <w:r w:rsidR="00DD4B33">
        <w:t xml:space="preserve">en </w:t>
      </w:r>
      <w:r>
        <w:t>exporteren de gebruikte grondstoffen, in plaats van ze</w:t>
      </w:r>
      <w:r w:rsidR="00697DDD">
        <w:t xml:space="preserve"> grootschalig</w:t>
      </w:r>
      <w:r>
        <w:t xml:space="preserve"> te hergebruiken of te recyclen. Ook maakt het ons afhankelijk van derde landen, </w:t>
      </w:r>
      <w:r w:rsidR="00DA264D">
        <w:t xml:space="preserve">terwijl we </w:t>
      </w:r>
      <w:r>
        <w:t xml:space="preserve">zelf </w:t>
      </w:r>
      <w:r w:rsidR="00B421E0">
        <w:t xml:space="preserve">als Europa </w:t>
      </w:r>
      <w:r>
        <w:t>meer regie</w:t>
      </w:r>
      <w:r w:rsidR="00DA264D">
        <w:t xml:space="preserve"> willen </w:t>
      </w:r>
      <w:r>
        <w:t>hebben</w:t>
      </w:r>
      <w:r w:rsidR="00E97046">
        <w:t xml:space="preserve">, vanuit het belang van </w:t>
      </w:r>
      <w:r w:rsidR="00B23E33">
        <w:t xml:space="preserve">open </w:t>
      </w:r>
      <w:r w:rsidR="00E97046">
        <w:t>strategische autonomie</w:t>
      </w:r>
      <w:r>
        <w:t>. Dat kan</w:t>
      </w:r>
      <w:r w:rsidR="00DD4B33">
        <w:t xml:space="preserve"> onder andere</w:t>
      </w:r>
      <w:r>
        <w:t xml:space="preserve"> door </w:t>
      </w:r>
      <w:r w:rsidR="001F7E9F">
        <w:t>toe te gaan naar</w:t>
      </w:r>
      <w:r>
        <w:t xml:space="preserve"> een innovatieve en schone economie, waarin we zuiniger zijn op onze grondstoffen. </w:t>
      </w:r>
      <w:r w:rsidR="00E97046">
        <w:t>D</w:t>
      </w:r>
      <w:r w:rsidRPr="00595CEE" w:rsidR="00595CEE">
        <w:t xml:space="preserve">e transitie naar een circulaire economie </w:t>
      </w:r>
      <w:r w:rsidR="00E97046">
        <w:t xml:space="preserve">is daarmee </w:t>
      </w:r>
      <w:r w:rsidRPr="00595CEE" w:rsidR="00595CEE">
        <w:t xml:space="preserve">cruciaal. Een duurzamer gebruik van grondstoffen </w:t>
      </w:r>
      <w:r w:rsidR="008C137C">
        <w:t>vermindert onze risicovolle strategische afhankelijkheden</w:t>
      </w:r>
      <w:r w:rsidRPr="00595CEE" w:rsidR="00595CEE">
        <w:t>, stimuleert innovatie, draagt bij aan een schone leefomgeving en versterkt het EU</w:t>
      </w:r>
      <w:r w:rsidR="00595CEE">
        <w:t>-</w:t>
      </w:r>
      <w:r w:rsidRPr="00595CEE" w:rsidR="00595CEE">
        <w:t>concurrentievermogen</w:t>
      </w:r>
      <w:r w:rsidR="00595CEE">
        <w:t>.</w:t>
      </w:r>
      <w:r w:rsidR="00E97046">
        <w:t xml:space="preserve"> Een circulaire economie is een economische </w:t>
      </w:r>
      <w:r w:rsidRPr="001C57C2" w:rsidR="00E97046">
        <w:t>no</w:t>
      </w:r>
      <w:r w:rsidR="00E97046">
        <w:t>-</w:t>
      </w:r>
      <w:r w:rsidRPr="001C57C2" w:rsidR="00E97046">
        <w:t>brainer</w:t>
      </w:r>
      <w:r w:rsidR="00E97046">
        <w:t xml:space="preserve"> </w:t>
      </w:r>
      <w:r>
        <w:t xml:space="preserve">en de sleutel tot een duurzame toekomst. </w:t>
      </w:r>
    </w:p>
    <w:p w:rsidR="0074332F" w:rsidP="00AA51BE" w:rsidRDefault="0074332F" w14:paraId="4DB41AE5" w14:textId="23E7CC9B"/>
    <w:p w:rsidR="0024262D" w:rsidP="00AA51BE" w:rsidRDefault="0024262D" w14:paraId="0FF6632D" w14:textId="46CEF824">
      <w:r>
        <w:t>De transitie naar een circulaire economie is</w:t>
      </w:r>
      <w:r w:rsidRPr="003263C5">
        <w:t xml:space="preserve"> een systeemtransitie </w:t>
      </w:r>
      <w:r>
        <w:t xml:space="preserve">die raakt aan meerdere </w:t>
      </w:r>
      <w:r w:rsidRPr="003263C5">
        <w:t>beleidsterreinen binnen het Rijk</w:t>
      </w:r>
      <w:r>
        <w:t xml:space="preserve">. Daarom bied ik u, </w:t>
      </w:r>
      <w:r w:rsidRPr="0095459F">
        <w:t>als coördinerend bewindspersoon voor Circulaire Economie</w:t>
      </w:r>
      <w:r>
        <w:t xml:space="preserve"> en </w:t>
      </w:r>
      <w:r w:rsidRPr="0095459F">
        <w:t>mede namens de minister van Economische Zaken</w:t>
      </w:r>
      <w:r>
        <w:rPr>
          <w:rStyle w:val="FootnoteReference"/>
        </w:rPr>
        <w:footnoteReference w:id="2"/>
      </w:r>
      <w:r w:rsidRPr="0095459F">
        <w:t>, de minister van Klimaat en Groene Groei</w:t>
      </w:r>
      <w:r>
        <w:rPr>
          <w:rStyle w:val="FootnoteReference"/>
        </w:rPr>
        <w:footnoteReference w:id="3"/>
      </w:r>
      <w:r w:rsidRPr="0095459F">
        <w:t xml:space="preserve"> en de minister van Volkshuisvesting en Ruimtelijke Ordening</w:t>
      </w:r>
      <w:r>
        <w:rPr>
          <w:rStyle w:val="FootnoteReference"/>
        </w:rPr>
        <w:footnoteReference w:id="4"/>
      </w:r>
      <w:r w:rsidRPr="0095459F">
        <w:t xml:space="preserve">, </w:t>
      </w:r>
      <w:r>
        <w:t>de eerste</w:t>
      </w:r>
      <w:r w:rsidRPr="0095459F">
        <w:t xml:space="preserve"> actualisatie van het Nationaal Programma Circulaire Economie aa</w:t>
      </w:r>
      <w:r>
        <w:t>n: het NPCE 2025</w:t>
      </w:r>
      <w:r w:rsidRPr="0095459F">
        <w:t>.</w:t>
      </w:r>
      <w:r>
        <w:t xml:space="preserve"> </w:t>
      </w:r>
    </w:p>
    <w:p w:rsidRPr="002F516C" w:rsidR="00224F59" w:rsidP="003D4237" w:rsidRDefault="00407B33" w14:paraId="4EC0F806" w14:textId="6336EBA6">
      <w:pPr>
        <w:rPr>
          <w:b/>
          <w:bCs/>
        </w:rPr>
      </w:pPr>
      <w:r w:rsidRPr="00CB13E0">
        <w:rPr>
          <w:b/>
          <w:bCs/>
        </w:rPr>
        <w:lastRenderedPageBreak/>
        <w:t xml:space="preserve">Integrale CE rapportage </w:t>
      </w:r>
      <w:r w:rsidRPr="00CB13E0" w:rsidR="0052181F">
        <w:rPr>
          <w:b/>
          <w:bCs/>
        </w:rPr>
        <w:t>van PBL</w:t>
      </w:r>
      <w:r w:rsidR="003F40AE">
        <w:rPr>
          <w:b/>
          <w:bCs/>
        </w:rPr>
        <w:br/>
      </w:r>
      <w:r w:rsidR="002F1A7B">
        <w:rPr>
          <w:i/>
          <w:iCs/>
        </w:rPr>
        <w:br/>
      </w:r>
      <w:r w:rsidRPr="00CB13E0" w:rsidR="00224F59">
        <w:rPr>
          <w:i/>
          <w:iCs/>
        </w:rPr>
        <w:t>Kwetsbaarheid is toegenomen</w:t>
      </w:r>
    </w:p>
    <w:p w:rsidR="004C535A" w:rsidP="003D4237" w:rsidRDefault="003D4237" w14:paraId="0FD2E8E3" w14:textId="5086DBCA">
      <w:r>
        <w:t>H</w:t>
      </w:r>
      <w:r w:rsidRPr="003D4237">
        <w:t xml:space="preserve">et Planbureau voor de Leefomgeving (PBL) stelt op verzoek van het kabinet en in samenwerking met </w:t>
      </w:r>
      <w:r w:rsidR="00E403CA">
        <w:t xml:space="preserve">andere </w:t>
      </w:r>
      <w:r w:rsidRPr="003D4237">
        <w:t>kennisinstellingen elke twee jaar de Integrale Circulaire Economie Rapportage (ICER)</w:t>
      </w:r>
      <w:r w:rsidR="00784B5F">
        <w:rPr>
          <w:rStyle w:val="FootnoteReference"/>
        </w:rPr>
        <w:footnoteReference w:id="5"/>
      </w:r>
      <w:r w:rsidRPr="003D4237">
        <w:t xml:space="preserve"> op.</w:t>
      </w:r>
      <w:r>
        <w:t xml:space="preserve"> </w:t>
      </w:r>
      <w:r w:rsidR="004C535A">
        <w:t>H</w:t>
      </w:r>
      <w:r w:rsidRPr="004C535A" w:rsidR="004C535A">
        <w:t xml:space="preserve">et PBL </w:t>
      </w:r>
      <w:r w:rsidR="001C57C2">
        <w:t xml:space="preserve">geeft aan </w:t>
      </w:r>
      <w:r w:rsidRPr="004C535A" w:rsidR="004C535A">
        <w:t>dat Nederland zich nog niet in de versnellingsfase van de circulaire transitie bevindt en dat het Nederland nog niet lukt om de hoeveelheid gebruikte grondstoffen fors terug te dringen</w:t>
      </w:r>
      <w:r w:rsidR="004C535A">
        <w:t>. Zij concluderen ook dat N</w:t>
      </w:r>
      <w:r w:rsidRPr="004C535A" w:rsidR="004C535A">
        <w:t xml:space="preserve">ederland steeds kwetsbaarder </w:t>
      </w:r>
      <w:r w:rsidRPr="004C535A" w:rsidR="00E403CA">
        <w:t xml:space="preserve">is </w:t>
      </w:r>
      <w:r w:rsidRPr="004C535A" w:rsidR="004C535A">
        <w:t xml:space="preserve">vanwege de sterke afhankelijkheid van geïmporteerde </w:t>
      </w:r>
      <w:r w:rsidR="0050711E">
        <w:t xml:space="preserve">(kritieke) </w:t>
      </w:r>
      <w:r w:rsidRPr="004C535A" w:rsidR="004C535A">
        <w:t>grondstoffen en de impact van geopolitieke ontwikkelingen. Hierdoor wordt de transitie naar een circulaire economie urgenter.</w:t>
      </w:r>
    </w:p>
    <w:p w:rsidR="002F1A7B" w:rsidP="003D4237" w:rsidRDefault="002F1A7B" w14:paraId="783EE8C7" w14:textId="3B39C277"/>
    <w:p w:rsidRPr="003D4237" w:rsidR="003D4237" w:rsidP="003D4237" w:rsidRDefault="004C535A" w14:paraId="0B16F2A7" w14:textId="1A458653">
      <w:r w:rsidRPr="004C535A">
        <w:t>Het PBL doet de volgende vier aanbevelingen:</w:t>
      </w:r>
    </w:p>
    <w:p w:rsidR="003D4237" w:rsidP="003D4237" w:rsidRDefault="003D4237" w14:paraId="7A24D65E" w14:textId="4F4A538E">
      <w:pPr>
        <w:pStyle w:val="ListParagraph"/>
        <w:numPr>
          <w:ilvl w:val="0"/>
          <w:numId w:val="29"/>
        </w:numPr>
      </w:pPr>
      <w:r w:rsidRPr="003D4237">
        <w:t>Blijf inzetten op ambitieus Europees circulair economiebeleid om een gelijk</w:t>
      </w:r>
      <w:r w:rsidR="000C1CB1">
        <w:t>er</w:t>
      </w:r>
      <w:r w:rsidRPr="003D4237">
        <w:t xml:space="preserve"> </w:t>
      </w:r>
      <w:r w:rsidR="000C1CB1">
        <w:t xml:space="preserve">Europees </w:t>
      </w:r>
      <w:r w:rsidRPr="003D4237">
        <w:t xml:space="preserve">speelveld voor Nederlandse bedrijven te realiseren. </w:t>
      </w:r>
    </w:p>
    <w:p w:rsidR="003D4237" w:rsidP="003D4237" w:rsidRDefault="003D4237" w14:paraId="748F00FC" w14:textId="17F58FA5">
      <w:pPr>
        <w:pStyle w:val="ListParagraph"/>
        <w:numPr>
          <w:ilvl w:val="0"/>
          <w:numId w:val="29"/>
        </w:numPr>
      </w:pPr>
      <w:r w:rsidRPr="003D4237">
        <w:t xml:space="preserve">Benut bestaande nationale instrumenten beter, zoals Uitgebreide Producentenverantwoordelijkheid (UPV) en circulaire inkoop door overheden. </w:t>
      </w:r>
    </w:p>
    <w:p w:rsidRPr="009D767A" w:rsidR="003D4237" w:rsidP="003D4237" w:rsidRDefault="003D4237" w14:paraId="7DC9FDC7" w14:textId="429458C6">
      <w:pPr>
        <w:pStyle w:val="ListParagraph"/>
        <w:numPr>
          <w:ilvl w:val="0"/>
          <w:numId w:val="29"/>
        </w:numPr>
      </w:pPr>
      <w:bookmarkStart w:name="_Hlk205985283" w:id="1"/>
      <w:r w:rsidRPr="009D767A">
        <w:t xml:space="preserve">Zet in op de uitwerking van beleidsinstrumenten met grote potentiële milieueffecten. </w:t>
      </w:r>
    </w:p>
    <w:bookmarkEnd w:id="1"/>
    <w:p w:rsidR="003D4237" w:rsidP="003D4237" w:rsidRDefault="003D4237" w14:paraId="48287F5F" w14:textId="5F2755A9">
      <w:pPr>
        <w:pStyle w:val="ListParagraph"/>
        <w:numPr>
          <w:ilvl w:val="0"/>
          <w:numId w:val="29"/>
        </w:numPr>
      </w:pPr>
      <w:r w:rsidRPr="003D4237">
        <w:t>Versterk het bestaande sturingsmodel voor een circulaire economie</w:t>
      </w:r>
      <w:r w:rsidR="001C57C2">
        <w:t>.</w:t>
      </w:r>
      <w:r w:rsidRPr="003D4237">
        <w:t xml:space="preserve"> </w:t>
      </w:r>
    </w:p>
    <w:p w:rsidR="00224F59" w:rsidP="003D439C" w:rsidRDefault="00224F59" w14:paraId="67A402C2" w14:textId="77777777"/>
    <w:p w:rsidR="0052181F" w:rsidP="003D439C" w:rsidRDefault="002F1A7B" w14:paraId="46474123" w14:textId="297D2340">
      <w:r>
        <w:t>De conclusies uit de ICER zijn een belangrijke basis voor de actualisatie van het NPCE.</w:t>
      </w:r>
    </w:p>
    <w:p w:rsidR="00AF5284" w:rsidP="003D439C" w:rsidRDefault="00AF5284" w14:paraId="27772A5D" w14:textId="77777777">
      <w:pPr>
        <w:rPr>
          <w:b/>
          <w:bCs/>
        </w:rPr>
      </w:pPr>
    </w:p>
    <w:p w:rsidR="003F40AE" w:rsidP="003D439C" w:rsidRDefault="003F40AE" w14:paraId="77782DF6" w14:textId="77777777">
      <w:pPr>
        <w:rPr>
          <w:b/>
          <w:bCs/>
        </w:rPr>
      </w:pPr>
    </w:p>
    <w:p w:rsidRPr="00CB13E0" w:rsidR="00224F59" w:rsidP="003D439C" w:rsidRDefault="003518A9" w14:paraId="001A5381" w14:textId="0E3BCEBF">
      <w:pPr>
        <w:rPr>
          <w:b/>
          <w:bCs/>
        </w:rPr>
      </w:pPr>
      <w:r w:rsidRPr="00CB13E0">
        <w:rPr>
          <w:b/>
          <w:bCs/>
        </w:rPr>
        <w:t>Actualisatie</w:t>
      </w:r>
      <w:r w:rsidRPr="00CB13E0" w:rsidR="00224F59">
        <w:rPr>
          <w:b/>
          <w:bCs/>
        </w:rPr>
        <w:t xml:space="preserve"> NPCE</w:t>
      </w:r>
    </w:p>
    <w:p w:rsidRPr="00547201" w:rsidR="00A718C9" w:rsidP="00465FD6" w:rsidRDefault="004A7AC7" w14:paraId="5442A153" w14:textId="73A7F273">
      <w:r>
        <w:t>Hoewel de urgentie toeneemt</w:t>
      </w:r>
      <w:r w:rsidR="001C57C2">
        <w:t>,</w:t>
      </w:r>
      <w:r w:rsidR="00465FD6">
        <w:t xml:space="preserve"> </w:t>
      </w:r>
      <w:bookmarkStart w:name="_Hlk206685597" w:id="2"/>
      <w:r>
        <w:t xml:space="preserve">gaat </w:t>
      </w:r>
      <w:r w:rsidR="001C57C2">
        <w:t>h</w:t>
      </w:r>
      <w:r w:rsidRPr="00542B8A" w:rsidR="00A718C9">
        <w:t xml:space="preserve">et transitieproces nog niet snel genoeg. </w:t>
      </w:r>
      <w:r w:rsidR="00A718C9">
        <w:t>We kunnen dat bijvoorbeeld zien aan de circulaire-plasticsector waarin faillissementen plaatsvonden</w:t>
      </w:r>
      <w:r w:rsidR="00F15F8A">
        <w:t>, onder andere</w:t>
      </w:r>
      <w:r w:rsidR="00A718C9">
        <w:t xml:space="preserve"> door </w:t>
      </w:r>
      <w:r w:rsidRPr="001B7C2B" w:rsidR="001B7C2B">
        <w:t>de export van overcapaciteit voor gereduceerde prijzen uit derde landen</w:t>
      </w:r>
      <w:r w:rsidR="00A718C9">
        <w:t xml:space="preserve">. </w:t>
      </w:r>
      <w:r w:rsidRPr="00542B8A" w:rsidR="00A718C9">
        <w:t>Een circulaire economie vereist een ombouw van het bestaande systeem van lineair consumeren en produceren.</w:t>
      </w:r>
      <w:r w:rsidR="00A718C9">
        <w:t xml:space="preserve"> </w:t>
      </w:r>
      <w:r w:rsidRPr="00542B8A" w:rsidR="00A718C9">
        <w:t>We moeten grootschalige circulaire businessmodellen (op EU-niveau) mogelijk en concurrerend maken.</w:t>
      </w:r>
      <w:r w:rsidR="00A718C9">
        <w:t xml:space="preserve"> </w:t>
      </w:r>
    </w:p>
    <w:p w:rsidR="002F1A7B" w:rsidP="001C57C2" w:rsidRDefault="00A718C9" w14:paraId="06837AB8" w14:textId="5F5DF0BC">
      <w:pPr>
        <w:spacing w:line="240" w:lineRule="auto"/>
      </w:pPr>
      <w:r>
        <w:br/>
      </w:r>
      <w:r w:rsidR="001C57C2">
        <w:t xml:space="preserve">Om </w:t>
      </w:r>
      <w:r w:rsidRPr="2EEABA09">
        <w:t>de ambities voor een circulaire economie met de beperkte beschikbare middelen te realiseren</w:t>
      </w:r>
      <w:r w:rsidR="001C57C2">
        <w:t xml:space="preserve">, </w:t>
      </w:r>
      <w:r w:rsidR="00AF5284">
        <w:t xml:space="preserve">heb </w:t>
      </w:r>
      <w:r w:rsidR="001C57C2">
        <w:t xml:space="preserve">ik de volgende </w:t>
      </w:r>
      <w:r w:rsidR="00AF5284">
        <w:t>uitgang</w:t>
      </w:r>
      <w:r w:rsidR="001C57C2">
        <w:t>spunten</w:t>
      </w:r>
      <w:r w:rsidR="00AF5284">
        <w:t>.</w:t>
      </w:r>
      <w:r w:rsidRPr="2EEABA09">
        <w:t xml:space="preserve"> </w:t>
      </w:r>
      <w:r w:rsidRPr="001C57C2" w:rsidR="000555C7">
        <w:br/>
      </w:r>
    </w:p>
    <w:p w:rsidRPr="000555C7" w:rsidR="00A718C9" w:rsidP="00A718C9" w:rsidRDefault="00A718C9" w14:paraId="1B55C189" w14:textId="6AE79E15">
      <w:pPr>
        <w:spacing w:after="160" w:line="278" w:lineRule="auto"/>
      </w:pPr>
      <w:r w:rsidRPr="006C36FD">
        <w:rPr>
          <w:i/>
          <w:iCs/>
        </w:rPr>
        <w:t>Samen werken aan een toekomstbestending verdienvermogen</w:t>
      </w:r>
      <w:r>
        <w:rPr>
          <w:rFonts w:cs="Arial"/>
          <w:i/>
          <w:iCs/>
        </w:rPr>
        <w:br/>
      </w:r>
      <w:r w:rsidRPr="00A718C9">
        <w:t xml:space="preserve">Ondernemers richten zich op het vermarkten van hun product en </w:t>
      </w:r>
      <w:r w:rsidR="001C57C2">
        <w:t xml:space="preserve">willen </w:t>
      </w:r>
      <w:r w:rsidRPr="00A718C9">
        <w:t>winst maken. Circulair ondernemen moet daarom kunnen concurreren op prijs en kwaliteit en circulaire ondernemers moeten hiertoe in staat worden gesteld. De betrokkenheid van het bedrijfsleven is da</w:t>
      </w:r>
      <w:r w:rsidR="001C57C2">
        <w:t>n ook</w:t>
      </w:r>
      <w:r w:rsidRPr="00A718C9">
        <w:t xml:space="preserve"> de basis. Ondernemers worden mede-eigenaar van de doelstellingen en beslissen mee over de keuze hoe deze doelen worden gerealiseerd. We gaan hierover in gesprek met het bedrijfsleven en andere belanghebbende</w:t>
      </w:r>
      <w:r w:rsidR="005670B5">
        <w:t>n</w:t>
      </w:r>
      <w:r w:rsidRPr="00A718C9">
        <w:t xml:space="preserve"> zoals andere overheden en maatschappelijke organisaties. Dit organiseren we per productgroep via een </w:t>
      </w:r>
      <w:r w:rsidRPr="00B74B3B" w:rsidR="00B74B3B">
        <w:t>keten</w:t>
      </w:r>
      <w:r w:rsidRPr="00B74B3B">
        <w:t>tafel.</w:t>
      </w:r>
      <w:r w:rsidRPr="000555C7">
        <w:t xml:space="preserve"> </w:t>
      </w:r>
    </w:p>
    <w:p w:rsidR="008E26B1" w:rsidP="00A718C9" w:rsidRDefault="00A718C9" w14:paraId="12611292" w14:textId="0D0D1CFE">
      <w:pPr>
        <w:spacing w:after="160" w:line="278" w:lineRule="auto"/>
        <w:rPr>
          <w:rFonts w:cs="Arial"/>
        </w:rPr>
      </w:pPr>
      <w:r w:rsidRPr="006C36FD">
        <w:rPr>
          <w:rFonts w:cs="Arial"/>
          <w:i/>
          <w:iCs/>
        </w:rPr>
        <w:t>Kiezen voor wat werkt</w:t>
      </w:r>
      <w:r>
        <w:rPr>
          <w:rFonts w:cs="Arial"/>
          <w:i/>
          <w:iCs/>
        </w:rPr>
        <w:br/>
      </w:r>
      <w:r w:rsidRPr="00A718C9">
        <w:rPr>
          <w:rFonts w:cs="Arial"/>
        </w:rPr>
        <w:t>Maatregelen nemen we bij voorkeur op EU-niveau, denk aan de Circular Economy Act (CEA), omdat dit zorgt voor een grotere impact, voor een gelijk speelveld voor bedrijven en het voorkomt oneerlijke concurrentie van bedrijven uit landen waar lagere milieunormen gelden. We brengen de Nederlandse kennis over circulariteit daarom ook op Europees niveau in.</w:t>
      </w:r>
    </w:p>
    <w:p w:rsidRPr="00A718C9" w:rsidR="00A718C9" w:rsidP="00A718C9" w:rsidRDefault="00A718C9" w14:paraId="20E34DA2" w14:textId="58CCEEA4">
      <w:pPr>
        <w:spacing w:after="160" w:line="278" w:lineRule="auto"/>
        <w:rPr>
          <w:rFonts w:cs="Arial"/>
          <w:i/>
          <w:iCs/>
        </w:rPr>
      </w:pPr>
      <w:r w:rsidRPr="00A718C9">
        <w:rPr>
          <w:rFonts w:cs="Arial"/>
        </w:rPr>
        <w:t>We zetten in op beleid dat zich richt op het wegnemen van belemmeringen, het creëren van een</w:t>
      </w:r>
      <w:r w:rsidR="00431ADB">
        <w:rPr>
          <w:rFonts w:cs="Arial"/>
        </w:rPr>
        <w:t xml:space="preserve"> </w:t>
      </w:r>
      <w:r w:rsidRPr="002F216F">
        <w:rPr>
          <w:rFonts w:cs="Arial"/>
        </w:rPr>
        <w:t>gelijk</w:t>
      </w:r>
      <w:r w:rsidRPr="002F216F" w:rsidR="000C1CB1">
        <w:rPr>
          <w:rFonts w:cs="Arial"/>
        </w:rPr>
        <w:t>er</w:t>
      </w:r>
      <w:r w:rsidRPr="002F216F">
        <w:rPr>
          <w:rFonts w:cs="Arial"/>
        </w:rPr>
        <w:t xml:space="preserve"> </w:t>
      </w:r>
      <w:r w:rsidRPr="002F216F" w:rsidR="000C1CB1">
        <w:rPr>
          <w:rFonts w:cs="Arial"/>
        </w:rPr>
        <w:t xml:space="preserve">Europees en mondiaal </w:t>
      </w:r>
      <w:r w:rsidRPr="002F216F">
        <w:rPr>
          <w:rFonts w:cs="Arial"/>
        </w:rPr>
        <w:t>speelveld</w:t>
      </w:r>
      <w:r w:rsidRPr="002F216F" w:rsidR="00DD4B33">
        <w:rPr>
          <w:rFonts w:cs="Arial"/>
        </w:rPr>
        <w:t xml:space="preserve"> </w:t>
      </w:r>
      <w:r w:rsidRPr="00A718C9">
        <w:rPr>
          <w:rFonts w:cs="Arial"/>
        </w:rPr>
        <w:t xml:space="preserve">en het stimuleren van </w:t>
      </w:r>
      <w:r w:rsidR="0067397B">
        <w:rPr>
          <w:rFonts w:cs="Arial"/>
        </w:rPr>
        <w:t xml:space="preserve">initiatieven </w:t>
      </w:r>
      <w:r w:rsidRPr="00A718C9">
        <w:rPr>
          <w:rFonts w:cs="Arial"/>
        </w:rPr>
        <w:t xml:space="preserve">die circulaire impact maken. En dat hoeven niet per se alleen de </w:t>
      </w:r>
      <w:r w:rsidR="00775FFD">
        <w:rPr>
          <w:rFonts w:cs="Arial"/>
        </w:rPr>
        <w:t xml:space="preserve">aansprekende </w:t>
      </w:r>
      <w:r w:rsidRPr="00A718C9" w:rsidR="00775FFD">
        <w:rPr>
          <w:rFonts w:cs="Arial"/>
        </w:rPr>
        <w:t>innovaties</w:t>
      </w:r>
      <w:r w:rsidRPr="00A718C9">
        <w:rPr>
          <w:rFonts w:cs="Arial"/>
        </w:rPr>
        <w:t xml:space="preserve"> te zijn, en niet alleen technische innovaties, maar het gaat ook over bijvoorbeeld innovaties bij de financiering door financiële instellingen. </w:t>
      </w:r>
    </w:p>
    <w:p w:rsidRPr="00A718C9" w:rsidR="00A718C9" w:rsidP="00A718C9" w:rsidRDefault="00A718C9" w14:paraId="0CFFAC25" w14:textId="3422648A">
      <w:pPr>
        <w:autoSpaceDN/>
        <w:spacing w:after="160" w:line="278" w:lineRule="auto"/>
        <w:textAlignment w:val="auto"/>
        <w:rPr>
          <w:rFonts w:cs="Arial"/>
        </w:rPr>
      </w:pPr>
      <w:r w:rsidRPr="00A718C9">
        <w:rPr>
          <w:rFonts w:cs="Arial"/>
        </w:rPr>
        <w:t>De focus ligt dus op economische modellen die rendabel zijn en zichzelf dragen, niet op structurele afhankelijkheid van overheidsgeld. Enerzijds betekent dat tijdelijke steun voor bedrijven</w:t>
      </w:r>
      <w:r w:rsidR="00CF7DC0">
        <w:rPr>
          <w:rFonts w:cs="Arial"/>
        </w:rPr>
        <w:t xml:space="preserve">, binnen de geldende subsidiekaders, </w:t>
      </w:r>
      <w:r w:rsidRPr="00A718C9">
        <w:rPr>
          <w:rFonts w:cs="Arial"/>
        </w:rPr>
        <w:t>in de initiële fase</w:t>
      </w:r>
      <w:r w:rsidR="00A966A5">
        <w:rPr>
          <w:rFonts w:cs="Arial"/>
        </w:rPr>
        <w:t xml:space="preserve"> waar daar middelen voor beschikbaar zijn</w:t>
      </w:r>
      <w:r w:rsidRPr="00A718C9">
        <w:rPr>
          <w:rFonts w:cs="Arial"/>
        </w:rPr>
        <w:t xml:space="preserve">. Anderzijds dat de vraag naar circulaire producten verhoogd moet worden. </w:t>
      </w:r>
      <w:r>
        <w:rPr>
          <w:rFonts w:cs="Arial"/>
        </w:rPr>
        <w:br/>
      </w:r>
      <w:r w:rsidRPr="00A718C9">
        <w:rPr>
          <w:rFonts w:cs="Arial"/>
        </w:rPr>
        <w:t xml:space="preserve">Dit vereist scherpe beleidskeuzes van de overheid, niet alleen van het </w:t>
      </w:r>
      <w:r w:rsidR="00E55877">
        <w:rPr>
          <w:rFonts w:cs="Arial"/>
        </w:rPr>
        <w:t>R</w:t>
      </w:r>
      <w:r w:rsidRPr="00A718C9">
        <w:rPr>
          <w:rFonts w:cs="Arial"/>
        </w:rPr>
        <w:t xml:space="preserve">ijk, maar ook gemeenten, provincies en waterschappen spelen een belangrijke rol. </w:t>
      </w:r>
      <w:r w:rsidRPr="00D54EF1">
        <w:t xml:space="preserve">We versterken </w:t>
      </w:r>
      <w:r>
        <w:t xml:space="preserve">daarom </w:t>
      </w:r>
      <w:r w:rsidRPr="00D54EF1">
        <w:t xml:space="preserve">de samenwerking tussen overheden met de ‘krachtenbundeling Rijk-Regio’. </w:t>
      </w:r>
      <w:r w:rsidRPr="00A718C9">
        <w:rPr>
          <w:rFonts w:cs="Arial"/>
        </w:rPr>
        <w:t xml:space="preserve"> </w:t>
      </w:r>
    </w:p>
    <w:p w:rsidRPr="005670B5" w:rsidR="00A718C9" w:rsidP="00A718C9" w:rsidRDefault="00A718C9" w14:paraId="37FABF46" w14:textId="1A58298E">
      <w:pPr>
        <w:spacing w:after="160" w:line="278" w:lineRule="auto"/>
        <w:rPr>
          <w:rFonts w:cs="Arial"/>
        </w:rPr>
      </w:pPr>
      <w:r>
        <w:rPr>
          <w:rFonts w:cs="Arial"/>
          <w:i/>
          <w:iCs/>
        </w:rPr>
        <w:t>Ruimte geven voor resultaten</w:t>
      </w:r>
      <w:r>
        <w:rPr>
          <w:rFonts w:cs="Arial"/>
          <w:i/>
          <w:iCs/>
        </w:rPr>
        <w:br/>
      </w:r>
      <w:r w:rsidRPr="00A718C9">
        <w:rPr>
          <w:rFonts w:cs="Arial"/>
        </w:rPr>
        <w:t>Bedrijven</w:t>
      </w:r>
      <w:r w:rsidR="00B26027">
        <w:rPr>
          <w:rFonts w:cs="Arial"/>
        </w:rPr>
        <w:t xml:space="preserve"> en maatschappelijke organisaties</w:t>
      </w:r>
      <w:r w:rsidRPr="00A718C9">
        <w:rPr>
          <w:rFonts w:cs="Arial"/>
        </w:rPr>
        <w:t xml:space="preserve"> die verduurzamen krijgen waardering en ruimte, ook als de oplossing nog niet volledig circulair is of perfect. Beleidskeuzes moeten ruimte laten voor stap-voor-stap verbetering, waarbij het einddoel voor ogen wordt gehouden en </w:t>
      </w:r>
      <w:r w:rsidRPr="00A718C9">
        <w:rPr>
          <w:rFonts w:cs="Arial"/>
          <w:i/>
          <w:iCs/>
        </w:rPr>
        <w:t>lock-ins</w:t>
      </w:r>
      <w:r w:rsidRPr="00A718C9">
        <w:rPr>
          <w:rFonts w:cs="Arial"/>
        </w:rPr>
        <w:t xml:space="preserve"> worden voorkomen. </w:t>
      </w:r>
      <w:r w:rsidR="005670B5">
        <w:rPr>
          <w:rFonts w:cs="Arial"/>
        </w:rPr>
        <w:br/>
      </w:r>
      <w:r>
        <w:rPr>
          <w:rFonts w:cs="Arial"/>
          <w:i/>
          <w:iCs/>
        </w:rPr>
        <w:br/>
      </w:r>
      <w:r w:rsidRPr="00A718C9">
        <w:rPr>
          <w:rFonts w:cs="Arial"/>
        </w:rPr>
        <w:t>En tot slot maken we het voor consumenten</w:t>
      </w:r>
      <w:r w:rsidR="00005593">
        <w:rPr>
          <w:rFonts w:cs="Arial"/>
        </w:rPr>
        <w:t xml:space="preserve"> gemakkelijk</w:t>
      </w:r>
      <w:r w:rsidR="00784B5F">
        <w:rPr>
          <w:rFonts w:cs="Arial"/>
        </w:rPr>
        <w:t xml:space="preserve"> circulaire</w:t>
      </w:r>
      <w:r w:rsidR="0067397B">
        <w:rPr>
          <w:rFonts w:cs="Arial"/>
        </w:rPr>
        <w:t xml:space="preserve"> keuzes</w:t>
      </w:r>
      <w:r w:rsidRPr="00A718C9">
        <w:rPr>
          <w:rFonts w:cs="Arial"/>
        </w:rPr>
        <w:t xml:space="preserve"> te maken. Niet door ze te overtuigen van het nut, maar door het voor hen simpelweg de </w:t>
      </w:r>
      <w:r w:rsidR="00005593">
        <w:rPr>
          <w:rFonts w:cs="Arial"/>
        </w:rPr>
        <w:t>beste en logische</w:t>
      </w:r>
      <w:r w:rsidRPr="00A718C9">
        <w:rPr>
          <w:rFonts w:cs="Arial"/>
        </w:rPr>
        <w:t xml:space="preserve"> optie te laten zijn. </w:t>
      </w:r>
    </w:p>
    <w:bookmarkEnd w:id="2"/>
    <w:p w:rsidR="003D439C" w:rsidP="003D439C" w:rsidRDefault="00A718C9" w14:paraId="58A17BB3" w14:textId="4B507204">
      <w:r>
        <w:t>Opgedane i</w:t>
      </w:r>
      <w:r w:rsidRPr="0074332F" w:rsidR="003D439C">
        <w:t>nzichten, ervaringen</w:t>
      </w:r>
      <w:r w:rsidR="00672057">
        <w:t>, deelevaluaties</w:t>
      </w:r>
      <w:r w:rsidRPr="0074332F" w:rsidR="003D439C">
        <w:t xml:space="preserve"> en </w:t>
      </w:r>
      <w:r w:rsidR="003D439C">
        <w:t xml:space="preserve">(internationale) </w:t>
      </w:r>
      <w:r w:rsidRPr="0074332F" w:rsidR="003D439C">
        <w:t xml:space="preserve">ontwikkelingen hebben </w:t>
      </w:r>
      <w:r>
        <w:t xml:space="preserve">in de actualisatie </w:t>
      </w:r>
      <w:r w:rsidRPr="0074332F" w:rsidR="003D439C">
        <w:t xml:space="preserve">een vertaling gekregen </w:t>
      </w:r>
      <w:r w:rsidR="003D439C">
        <w:t>naar</w:t>
      </w:r>
      <w:r w:rsidRPr="0074332F" w:rsidR="003D439C">
        <w:t xml:space="preserve"> concretere (beleids</w:t>
      </w:r>
      <w:r w:rsidR="003D439C">
        <w:t>-</w:t>
      </w:r>
      <w:r w:rsidRPr="0074332F" w:rsidR="003D439C">
        <w:t xml:space="preserve">)doelen, een </w:t>
      </w:r>
      <w:r w:rsidR="003D439C">
        <w:t>vernieuwde</w:t>
      </w:r>
      <w:r w:rsidRPr="0074332F" w:rsidR="003D439C">
        <w:t xml:space="preserve"> governancestructuur en </w:t>
      </w:r>
      <w:r w:rsidR="003D439C">
        <w:t xml:space="preserve">aanvullende </w:t>
      </w:r>
      <w:r w:rsidRPr="0074332F" w:rsidR="003D439C">
        <w:t>maatregelen</w:t>
      </w:r>
      <w:r w:rsidR="001F7E9F">
        <w:t>.</w:t>
      </w:r>
      <w:r w:rsidR="00672057">
        <w:rPr>
          <w:rStyle w:val="FootnoteReference"/>
        </w:rPr>
        <w:footnoteReference w:id="6"/>
      </w:r>
      <w:r w:rsidRPr="0074332F" w:rsidR="003D439C">
        <w:t xml:space="preserve"> </w:t>
      </w:r>
      <w:r w:rsidR="00B74B3B">
        <w:t>We zetten hiermee de koers door.</w:t>
      </w:r>
    </w:p>
    <w:p w:rsidR="002F23B2" w:rsidP="002F23B2" w:rsidRDefault="002F23B2" w14:paraId="2B2EC9D4" w14:textId="77777777"/>
    <w:p w:rsidR="002F23B2" w:rsidP="002F23B2" w:rsidRDefault="002F23B2" w14:paraId="733AA8F2" w14:textId="765A9359">
      <w:r>
        <w:t xml:space="preserve">Het geactualiseerde NPCE bestaat uit drie </w:t>
      </w:r>
      <w:r w:rsidR="0050711E">
        <w:t>delen</w:t>
      </w:r>
      <w:r>
        <w:t xml:space="preserve">: </w:t>
      </w:r>
    </w:p>
    <w:p w:rsidRPr="004B571C" w:rsidR="002F23B2" w:rsidP="004B571C" w:rsidRDefault="002F23B2" w14:paraId="1190AC74" w14:textId="71E1767E">
      <w:pPr>
        <w:pStyle w:val="ListParagraph"/>
        <w:numPr>
          <w:ilvl w:val="0"/>
          <w:numId w:val="36"/>
        </w:numPr>
        <w:rPr>
          <w:rFonts w:eastAsiaTheme="minorEastAsia"/>
        </w:rPr>
      </w:pPr>
      <w:r>
        <w:t>Doelstellingen, strategie, financiën en andere hoofdlijnen van actualisatie</w:t>
      </w:r>
      <w:r w:rsidR="005F5DAC">
        <w:t>;</w:t>
      </w:r>
    </w:p>
    <w:p w:rsidRPr="00B74B3B" w:rsidR="002F23B2" w:rsidP="004B571C" w:rsidRDefault="002F23B2" w14:paraId="6ED05BDA" w14:textId="16E9873F">
      <w:pPr>
        <w:pStyle w:val="ListParagraph"/>
        <w:numPr>
          <w:ilvl w:val="0"/>
          <w:numId w:val="36"/>
        </w:numPr>
        <w:rPr>
          <w:rFonts w:eastAsiaTheme="minorEastAsia"/>
        </w:rPr>
      </w:pPr>
      <w:r w:rsidRPr="00B74B3B">
        <w:t>De voor</w:t>
      </w:r>
      <w:r w:rsidRPr="00B74B3B" w:rsidR="008C2DF4">
        <w:t>t</w:t>
      </w:r>
      <w:r w:rsidRPr="00B74B3B">
        <w:t xml:space="preserve">gang van </w:t>
      </w:r>
      <w:r w:rsidRPr="00B74B3B" w:rsidR="00B74B3B">
        <w:t xml:space="preserve">(de uitvoering van) CE-beleid </w:t>
      </w:r>
      <w:r w:rsidRPr="00B74B3B">
        <w:t>en aanvullende maatregelen</w:t>
      </w:r>
      <w:r w:rsidR="005F5DAC">
        <w:t>;</w:t>
      </w:r>
      <w:r w:rsidRPr="00B74B3B">
        <w:t xml:space="preserve">  </w:t>
      </w:r>
    </w:p>
    <w:p w:rsidRPr="002F23B2" w:rsidR="002F23B2" w:rsidP="004B571C" w:rsidRDefault="001F2447" w14:paraId="3A62B9E4" w14:textId="2868DD85">
      <w:pPr>
        <w:pStyle w:val="ListParagraph"/>
        <w:numPr>
          <w:ilvl w:val="0"/>
          <w:numId w:val="36"/>
        </w:numPr>
        <w:rPr>
          <w:rFonts w:eastAsiaTheme="minorEastAsia"/>
        </w:rPr>
      </w:pPr>
      <w:r>
        <w:t>Een</w:t>
      </w:r>
      <w:r w:rsidR="002F23B2">
        <w:t xml:space="preserve"> </w:t>
      </w:r>
      <w:hyperlink w:history="1" r:id="rId12">
        <w:r w:rsidRPr="0056768E" w:rsidR="008C2DF4">
          <w:rPr>
            <w:rStyle w:val="Hyperlink"/>
            <w:rFonts w:eastAsiaTheme="minorEastAsia"/>
            <w:color w:val="auto"/>
          </w:rPr>
          <w:t>e</w:t>
        </w:r>
        <w:r w:rsidRPr="0056768E" w:rsidR="002F23B2">
          <w:rPr>
            <w:rStyle w:val="Hyperlink"/>
            <w:rFonts w:eastAsiaTheme="minorEastAsia"/>
            <w:color w:val="auto"/>
          </w:rPr>
          <w:t>-magazine</w:t>
        </w:r>
      </w:hyperlink>
      <w:r w:rsidRPr="0056768E" w:rsidR="002F23B2">
        <w:rPr>
          <w:rFonts w:eastAsiaTheme="minorEastAsia"/>
          <w:color w:val="auto"/>
        </w:rPr>
        <w:t xml:space="preserve"> </w:t>
      </w:r>
      <w:r w:rsidRPr="002F23B2" w:rsidR="002F23B2">
        <w:rPr>
          <w:rFonts w:eastAsiaTheme="minorEastAsia"/>
        </w:rPr>
        <w:t>met voorbeelden van circulaire initiatieven en inspirerende initiatiefnemers</w:t>
      </w:r>
      <w:r w:rsidR="002F23B2">
        <w:t>.</w:t>
      </w:r>
    </w:p>
    <w:p w:rsidR="003D439C" w:rsidP="00D77207" w:rsidRDefault="003D439C" w14:paraId="758BDF13" w14:textId="77777777"/>
    <w:p w:rsidR="00D77207" w:rsidP="00D77207" w:rsidRDefault="002F23B2" w14:paraId="3A79DCA4" w14:textId="0A74DDB3">
      <w:r>
        <w:t xml:space="preserve">Daarnaast biedt </w:t>
      </w:r>
      <w:r w:rsidR="00313D1E">
        <w:t>een</w:t>
      </w:r>
      <w:r w:rsidR="00D77207">
        <w:t xml:space="preserve"> </w:t>
      </w:r>
      <w:hyperlink w:history="1" r:id="rId13">
        <w:r w:rsidRPr="00422AB4" w:rsidR="00D77207">
          <w:rPr>
            <w:rStyle w:val="Hyperlink"/>
            <w:color w:val="auto"/>
          </w:rPr>
          <w:t>online visualisatie</w:t>
        </w:r>
      </w:hyperlink>
      <w:r w:rsidR="00D77207">
        <w:t xml:space="preserve"> een overzicht van de status van alle in het NPCE </w:t>
      </w:r>
      <w:r w:rsidR="001F2447">
        <w:t xml:space="preserve">2023-2030 </w:t>
      </w:r>
      <w:r w:rsidR="00D77207">
        <w:t xml:space="preserve">aangekondigde maatregelen. </w:t>
      </w:r>
    </w:p>
    <w:p w:rsidR="00224F59" w:rsidP="00D77207" w:rsidRDefault="00224F59" w14:paraId="615E8AF8" w14:textId="77777777"/>
    <w:p w:rsidR="00FA6E31" w:rsidP="00D77207" w:rsidRDefault="00FA6E31" w14:paraId="674BDEF0" w14:textId="77777777">
      <w:pPr>
        <w:rPr>
          <w:i/>
          <w:iCs/>
        </w:rPr>
      </w:pPr>
    </w:p>
    <w:p w:rsidR="00FA6E31" w:rsidP="00D77207" w:rsidRDefault="00FA6E31" w14:paraId="7FA51B65" w14:textId="77777777">
      <w:pPr>
        <w:rPr>
          <w:i/>
          <w:iCs/>
        </w:rPr>
      </w:pPr>
    </w:p>
    <w:p w:rsidR="00FA6E31" w:rsidP="00D77207" w:rsidRDefault="00FA6E31" w14:paraId="61F3C7BB" w14:textId="77777777">
      <w:pPr>
        <w:rPr>
          <w:i/>
          <w:iCs/>
        </w:rPr>
      </w:pPr>
    </w:p>
    <w:p w:rsidR="00FA6E31" w:rsidP="00D77207" w:rsidRDefault="00FA6E31" w14:paraId="6AD38186" w14:textId="77777777">
      <w:pPr>
        <w:rPr>
          <w:i/>
          <w:iCs/>
        </w:rPr>
      </w:pPr>
    </w:p>
    <w:p w:rsidRPr="00CB13E0" w:rsidR="00224F59" w:rsidP="00D77207" w:rsidRDefault="00B74B3B" w14:paraId="2606ADE6" w14:textId="60424EBD">
      <w:pPr>
        <w:rPr>
          <w:i/>
          <w:iCs/>
        </w:rPr>
      </w:pPr>
      <w:r w:rsidRPr="00B74B3B">
        <w:rPr>
          <w:i/>
          <w:iCs/>
        </w:rPr>
        <w:t>Nieuw in de actualisatie: s</w:t>
      </w:r>
      <w:r w:rsidRPr="00B74B3B" w:rsidR="00DA2DFA">
        <w:rPr>
          <w:i/>
          <w:iCs/>
        </w:rPr>
        <w:t>turingsmodel en doelstellingen</w:t>
      </w:r>
    </w:p>
    <w:p w:rsidR="00224F59" w:rsidP="00224F59" w:rsidRDefault="00224F59" w14:paraId="35D470D1" w14:textId="29E1F888">
      <w:r w:rsidRPr="002A6397">
        <w:t xml:space="preserve">In het NPCE van 2023 </w:t>
      </w:r>
      <w:r>
        <w:t xml:space="preserve">is </w:t>
      </w:r>
      <w:r w:rsidRPr="002A6397">
        <w:t xml:space="preserve">aangekondigd dat er concretere nationale doelen komen en dat de transitie om een geleidelijke aanpassing van de </w:t>
      </w:r>
      <w:r w:rsidR="003F40AE">
        <w:t>g</w:t>
      </w:r>
      <w:r w:rsidRPr="002A6397">
        <w:t>overnance vraagt. Dit geactualiseerde NPCE geeft hier invulling aan</w:t>
      </w:r>
      <w:r w:rsidR="00A15C9C">
        <w:t>.</w:t>
      </w:r>
      <w:r>
        <w:rPr>
          <w:rStyle w:val="FootnoteReference"/>
        </w:rPr>
        <w:footnoteReference w:id="7"/>
      </w:r>
    </w:p>
    <w:p w:rsidR="00224F59" w:rsidP="00224F59" w:rsidRDefault="00224F59" w14:paraId="31F8CDD4" w14:textId="77777777"/>
    <w:p w:rsidR="00224F59" w:rsidP="00CB13E0" w:rsidRDefault="00224F59" w14:paraId="788BDE19" w14:textId="1C0AAA9D">
      <w:r w:rsidRPr="00AE4D0E">
        <w:t>Voor de transitie naar circulaire economie zijn drie nieuwe doelen voor 2035 geformuleerd.</w:t>
      </w:r>
      <w:r>
        <w:t xml:space="preserve"> Zij</w:t>
      </w:r>
      <w:r w:rsidRPr="00AE4D0E">
        <w:t xml:space="preserve"> </w:t>
      </w:r>
      <w:r w:rsidR="00CB13E0">
        <w:rPr>
          <w:rFonts w:eastAsia="Times New Roman"/>
        </w:rPr>
        <w:t>concretiseren</w:t>
      </w:r>
      <w:r w:rsidRPr="00B252FE">
        <w:rPr>
          <w:rFonts w:eastAsia="Times New Roman"/>
        </w:rPr>
        <w:t xml:space="preserve"> de huidige doelstelling voor halvering van het grondstoffengebruik in 2030.</w:t>
      </w:r>
      <w:r>
        <w:rPr>
          <w:rFonts w:eastAsia="Times New Roman"/>
        </w:rPr>
        <w:t xml:space="preserve"> </w:t>
      </w:r>
      <w:r w:rsidRPr="00AE4D0E">
        <w:t>De doelen zijn gebaseerd op de vier circulariteitsstrategieën</w:t>
      </w:r>
      <w:r w:rsidR="009F76EE">
        <w:t xml:space="preserve">. </w:t>
      </w:r>
    </w:p>
    <w:p w:rsidR="00224F59" w:rsidP="00224F59" w:rsidRDefault="00224F59" w14:paraId="28D460B7" w14:textId="77777777"/>
    <w:p w:rsidR="004A7AC7" w:rsidP="00B74B3B" w:rsidRDefault="00224F59" w14:paraId="208DC8B7" w14:textId="77777777">
      <w:pPr>
        <w:pStyle w:val="NormalWeb"/>
        <w:shd w:val="clear" w:color="auto" w:fill="FFFFFF" w:themeFill="background1"/>
        <w:spacing w:before="0" w:beforeAutospacing="0" w:after="0" w:afterAutospacing="0"/>
        <w:rPr>
          <w:rFonts w:ascii="Verdana" w:hAnsi="Verdana" w:eastAsia="DejaVu Sans" w:cs="Lohit Hindi"/>
          <w:color w:val="000000"/>
          <w:sz w:val="18"/>
          <w:szCs w:val="18"/>
        </w:rPr>
      </w:pPr>
      <w:r w:rsidRPr="00B74B3B">
        <w:rPr>
          <w:rFonts w:ascii="Verdana" w:hAnsi="Verdana" w:eastAsia="DejaVu Sans" w:cs="Lohit Hindi"/>
          <w:color w:val="000000"/>
          <w:sz w:val="18"/>
          <w:szCs w:val="18"/>
        </w:rPr>
        <w:t>De nationale doelen voor een circulaire economie kunnen alleen werkelijkheid worden als de samenwerking tussen en op de verschillende beleidsterreinen, -opgaven en -verantwoordelijken goed verloopt. Het kabinet vindt het in het verlengde van de motie Grinwis</w:t>
      </w:r>
      <w:r w:rsidRPr="00B74B3B">
        <w:rPr>
          <w:rFonts w:ascii="Verdana" w:hAnsi="Verdana" w:eastAsia="DejaVu Sans" w:cs="Lohit Hindi"/>
          <w:color w:val="000000"/>
          <w:sz w:val="18"/>
          <w:szCs w:val="18"/>
          <w:vertAlign w:val="superscript"/>
        </w:rPr>
        <w:footnoteReference w:id="8"/>
      </w:r>
      <w:r w:rsidRPr="00B74B3B">
        <w:rPr>
          <w:rFonts w:ascii="Verdana" w:hAnsi="Verdana" w:eastAsia="DejaVu Sans" w:cs="Lohit Hindi"/>
          <w:color w:val="000000"/>
          <w:sz w:val="18"/>
          <w:szCs w:val="18"/>
        </w:rPr>
        <w:t xml:space="preserve"> van belang om met de verschillende ketenpartijen de transitie te versnellen. </w:t>
      </w:r>
      <w:r w:rsidRPr="00B74B3B" w:rsidR="00A15C9C">
        <w:rPr>
          <w:rFonts w:ascii="Verdana" w:hAnsi="Verdana" w:eastAsia="DejaVu Sans" w:cs="Lohit Hindi"/>
          <w:color w:val="000000"/>
          <w:sz w:val="18"/>
          <w:szCs w:val="18"/>
        </w:rPr>
        <w:t xml:space="preserve">Per productgroep komt er een </w:t>
      </w:r>
      <w:r w:rsidRPr="00B74B3B" w:rsidR="0095459F">
        <w:rPr>
          <w:rFonts w:ascii="Verdana" w:hAnsi="Verdana" w:eastAsia="DejaVu Sans" w:cs="Lohit Hindi"/>
          <w:color w:val="000000"/>
          <w:sz w:val="18"/>
          <w:szCs w:val="18"/>
        </w:rPr>
        <w:t>ketentafel</w:t>
      </w:r>
      <w:r w:rsidRPr="00B74B3B" w:rsidR="00A15C9C">
        <w:rPr>
          <w:rFonts w:ascii="Verdana" w:hAnsi="Verdana" w:eastAsia="DejaVu Sans" w:cs="Lohit Hindi"/>
          <w:color w:val="000000"/>
          <w:sz w:val="18"/>
          <w:szCs w:val="18"/>
        </w:rPr>
        <w:t xml:space="preserve"> om echt meters te kunnen maken. </w:t>
      </w:r>
    </w:p>
    <w:p w:rsidRPr="00B74B3B" w:rsidR="00B74B3B" w:rsidP="00B74B3B" w:rsidRDefault="00B74B3B" w14:paraId="5E0B209E" w14:textId="3D87DF49">
      <w:pPr>
        <w:pStyle w:val="NormalWeb"/>
        <w:shd w:val="clear" w:color="auto" w:fill="FFFFFF" w:themeFill="background1"/>
        <w:spacing w:before="0" w:beforeAutospacing="0" w:after="0" w:afterAutospacing="0"/>
        <w:rPr>
          <w:rFonts w:ascii="Verdana" w:hAnsi="Verdana" w:eastAsia="DejaVu Sans" w:cs="Lohit Hindi"/>
          <w:color w:val="000000"/>
          <w:sz w:val="18"/>
          <w:szCs w:val="18"/>
        </w:rPr>
      </w:pPr>
      <w:r w:rsidRPr="00B74B3B">
        <w:rPr>
          <w:rFonts w:ascii="Verdana" w:hAnsi="Verdana" w:eastAsia="DejaVu Sans" w:cs="Lohit Hindi"/>
          <w:color w:val="000000"/>
          <w:sz w:val="18"/>
          <w:szCs w:val="18"/>
        </w:rPr>
        <w:br/>
        <w:t>Het streven is dat op termijn voor alle productgroepen vergelijkbare doelen geformuleerd zijn, zodat we de voortgang en bijdrage aan de nationale doelen in beeld kunnen brengen. Het is vervolgens aan de sectorpartijen om te komen tot een plan met wie en hoe bijgedragen kan worden aan de doelen</w:t>
      </w:r>
      <w:r>
        <w:rPr>
          <w:rFonts w:ascii="Verdana" w:hAnsi="Verdana" w:eastAsia="DejaVu Sans" w:cs="Lohit Hindi"/>
          <w:color w:val="000000"/>
          <w:sz w:val="18"/>
          <w:szCs w:val="18"/>
        </w:rPr>
        <w:t>.</w:t>
      </w:r>
    </w:p>
    <w:p w:rsidR="00224F59" w:rsidP="00CB13E0" w:rsidRDefault="00224F59" w14:paraId="37830311" w14:textId="65A089A6">
      <w:r>
        <w:t xml:space="preserve">In de krachtenbundeling Rijk-Regio wordt de samenwerking met </w:t>
      </w:r>
      <w:r w:rsidR="003D331C">
        <w:t>medeoverheden</w:t>
      </w:r>
      <w:r>
        <w:t xml:space="preserve"> verdiept.</w:t>
      </w:r>
    </w:p>
    <w:p w:rsidR="00407B33" w:rsidRDefault="00407B33" w14:paraId="0F1EBFDC" w14:textId="77777777">
      <w:pPr>
        <w:rPr>
          <w:b/>
          <w:bCs/>
        </w:rPr>
      </w:pPr>
    </w:p>
    <w:p w:rsidR="003F40AE" w:rsidRDefault="003F40AE" w14:paraId="07FC8961" w14:textId="77777777">
      <w:pPr>
        <w:rPr>
          <w:b/>
          <w:bCs/>
        </w:rPr>
      </w:pPr>
    </w:p>
    <w:p w:rsidRPr="002F516C" w:rsidR="00224F59" w:rsidP="00224F59" w:rsidRDefault="00AC5595" w14:paraId="63DB1D3F" w14:textId="62CB64DD">
      <w:r>
        <w:rPr>
          <w:b/>
          <w:bCs/>
        </w:rPr>
        <w:t>Speerpunten voor de komende periode</w:t>
      </w:r>
      <w:r w:rsidR="003F40AE">
        <w:rPr>
          <w:b/>
          <w:bCs/>
        </w:rPr>
        <w:br/>
      </w:r>
      <w:r w:rsidR="002F1A7B">
        <w:rPr>
          <w:i/>
          <w:iCs/>
        </w:rPr>
        <w:br/>
      </w:r>
      <w:r w:rsidR="00224F59">
        <w:rPr>
          <w:i/>
          <w:iCs/>
        </w:rPr>
        <w:t xml:space="preserve">Circulariteit van </w:t>
      </w:r>
      <w:r w:rsidR="00B048E0">
        <w:rPr>
          <w:i/>
          <w:iCs/>
        </w:rPr>
        <w:t>(</w:t>
      </w:r>
      <w:r w:rsidR="00224F59">
        <w:rPr>
          <w:i/>
          <w:iCs/>
        </w:rPr>
        <w:t>kritieke</w:t>
      </w:r>
      <w:r w:rsidR="00B048E0">
        <w:rPr>
          <w:i/>
          <w:iCs/>
        </w:rPr>
        <w:t>)</w:t>
      </w:r>
      <w:r w:rsidR="00224F59">
        <w:rPr>
          <w:i/>
          <w:iCs/>
        </w:rPr>
        <w:t xml:space="preserve"> grondstoffen</w:t>
      </w:r>
    </w:p>
    <w:p w:rsidR="00224F59" w:rsidP="00224F59" w:rsidRDefault="00A15C9C" w14:paraId="67FDEF4C" w14:textId="23F7BADA">
      <w:r>
        <w:t xml:space="preserve">Ik zie de noodzaak om </w:t>
      </w:r>
      <w:r w:rsidR="00224F59">
        <w:t xml:space="preserve">de circulariteit van kritieke grondstoffen te verhogen. Kritieke grondstoffen zijn grondstoffen die belangrijk zijn voor de economie en waar een leveringszekerheidsrisico bestaat. </w:t>
      </w:r>
      <w:r w:rsidRPr="004C4B18" w:rsidR="00224F59">
        <w:t xml:space="preserve">Het NPCE bevat </w:t>
      </w:r>
      <w:r>
        <w:t xml:space="preserve">daarom </w:t>
      </w:r>
      <w:r w:rsidRPr="004C4B18" w:rsidR="00224F59">
        <w:t>circulaire maatregelen voor producten die veel (kritieke) grondstoffen bevatten</w:t>
      </w:r>
      <w:r w:rsidR="00B048E0">
        <w:t xml:space="preserve"> </w:t>
      </w:r>
      <w:r w:rsidRPr="004C4B18" w:rsidR="00224F59">
        <w:t>(zoals windmolens en elektrische apparaten)</w:t>
      </w:r>
      <w:r w:rsidR="004310AB">
        <w:t>.</w:t>
      </w:r>
      <w:r w:rsidRPr="004C4B18" w:rsidR="00224F59">
        <w:t xml:space="preserve"> </w:t>
      </w:r>
    </w:p>
    <w:p w:rsidR="00A1189F" w:rsidP="00A1189F" w:rsidRDefault="00224F59" w14:paraId="2C1E1246" w14:textId="2000F5CB">
      <w:pPr>
        <w:autoSpaceDN/>
        <w:spacing w:line="276" w:lineRule="auto"/>
      </w:pPr>
      <w:r>
        <w:t>Hiermee</w:t>
      </w:r>
      <w:r w:rsidRPr="00BE14B0">
        <w:t xml:space="preserve"> leveren we een bijdrage </w:t>
      </w:r>
      <w:r>
        <w:t>aan</w:t>
      </w:r>
      <w:r w:rsidRPr="00BE14B0">
        <w:t xml:space="preserve"> </w:t>
      </w:r>
      <w:r>
        <w:t xml:space="preserve">de leveringszekerheid van kritieke grondstoffen door </w:t>
      </w:r>
      <w:r w:rsidRPr="00BE14B0">
        <w:t xml:space="preserve">1) </w:t>
      </w:r>
      <w:r>
        <w:t>efficiënt</w:t>
      </w:r>
      <w:r w:rsidR="00A15C9C">
        <w:t>er</w:t>
      </w:r>
      <w:r>
        <w:t xml:space="preserve"> gebruik</w:t>
      </w:r>
      <w:r w:rsidRPr="00BE14B0">
        <w:t xml:space="preserve"> van kritieke grondstoffen </w:t>
      </w:r>
      <w:r>
        <w:t xml:space="preserve">en 2) </w:t>
      </w:r>
      <w:r w:rsidRPr="00BE14B0">
        <w:t>de terugwinning van kritieke grondstoffen uit afval en</w:t>
      </w:r>
      <w:r w:rsidR="00A15C9C">
        <w:t xml:space="preserve"> 3)</w:t>
      </w:r>
      <w:r w:rsidRPr="00BE14B0">
        <w:t xml:space="preserve"> het creëren van een afzetmarkt voor secundaire (gerecyclede) kritieke grondstoffen</w:t>
      </w:r>
      <w:r>
        <w:t xml:space="preserve"> </w:t>
      </w:r>
      <w:r w:rsidRPr="004C4B18">
        <w:t>door innovatiesubsidies, maatschappelijk verantwoord inkopen en aanbestedingseisen.</w:t>
      </w:r>
      <w:r w:rsidR="004310AB">
        <w:t xml:space="preserve"> </w:t>
      </w:r>
      <w:r w:rsidR="00B048E0">
        <w:br/>
      </w:r>
      <w:r w:rsidR="00B048E0">
        <w:br/>
      </w:r>
      <w:r w:rsidR="003F41DD">
        <w:t>Met meerdere departementen werken w</w:t>
      </w:r>
      <w:r w:rsidR="00CB13E0">
        <w:t>e aan</w:t>
      </w:r>
      <w:r w:rsidR="004310AB">
        <w:t xml:space="preserve"> meer circulariteit van kritieke grondstoffen </w:t>
      </w:r>
      <w:r w:rsidR="003F41DD">
        <w:t>in de elkaar versterkende programma’s NPCE en Nationale Grondstoffenstrategie (NGS)</w:t>
      </w:r>
      <w:r w:rsidR="00A1189F">
        <w:t>, waarbij de Minister van Economische Zaken coördinerend en verantwoordelijk bewindspersoon voor de NGS is.</w:t>
      </w:r>
      <w:r w:rsidRPr="00A1189F" w:rsidR="00A1189F">
        <w:t xml:space="preserve"> </w:t>
      </w:r>
    </w:p>
    <w:p w:rsidR="00B048E0" w:rsidP="00A1189F" w:rsidRDefault="00B048E0" w14:paraId="6155D29C" w14:textId="77777777">
      <w:pPr>
        <w:autoSpaceDN/>
        <w:spacing w:line="276" w:lineRule="auto"/>
      </w:pPr>
    </w:p>
    <w:p w:rsidRPr="00B048E0" w:rsidR="00B048E0" w:rsidP="00B048E0" w:rsidRDefault="00B048E0" w14:paraId="68FD7195" w14:textId="773B717C">
      <w:pPr>
        <w:autoSpaceDN/>
        <w:spacing w:line="276" w:lineRule="auto"/>
      </w:pPr>
      <w:r w:rsidRPr="00B048E0">
        <w:t>Defensie onderzoekt in samenwerking met onder andere TNO de mogelijkheden voor het hergebruiken van componenten en grondstoffen uit verouderde munitie. Uw Kamer is hierover uitgebreider geïnformeerd op 6 oktober</w:t>
      </w:r>
      <w:r>
        <w:t xml:space="preserve"> 2025.</w:t>
      </w:r>
      <w:r>
        <w:rPr>
          <w:rStyle w:val="FootnoteReference"/>
        </w:rPr>
        <w:footnoteReference w:id="9"/>
      </w:r>
      <w:r w:rsidRPr="00B048E0">
        <w:t xml:space="preserve"> </w:t>
      </w:r>
    </w:p>
    <w:p w:rsidR="00B048E0" w:rsidP="00B048E0" w:rsidRDefault="00B048E0" w14:paraId="5DFB4D40" w14:textId="77777777">
      <w:pPr>
        <w:autoSpaceDN/>
        <w:spacing w:line="276" w:lineRule="auto"/>
      </w:pPr>
    </w:p>
    <w:p w:rsidR="00B048E0" w:rsidP="00B048E0" w:rsidRDefault="00B048E0" w14:paraId="6CD22F37" w14:textId="77777777">
      <w:pPr>
        <w:autoSpaceDN/>
        <w:spacing w:line="276" w:lineRule="auto"/>
      </w:pPr>
    </w:p>
    <w:p w:rsidRPr="00B048E0" w:rsidR="00B048E0" w:rsidP="00B048E0" w:rsidRDefault="00B048E0" w14:paraId="47A80A99" w14:textId="77777777">
      <w:pPr>
        <w:autoSpaceDN/>
        <w:spacing w:line="276" w:lineRule="auto"/>
      </w:pPr>
    </w:p>
    <w:p w:rsidRPr="004B571C" w:rsidR="00C0729B" w:rsidP="004B571C" w:rsidRDefault="00224F59" w14:paraId="573E59B1" w14:textId="6B8CBA80">
      <w:pPr>
        <w:rPr>
          <w:i/>
          <w:iCs/>
        </w:rPr>
      </w:pPr>
      <w:r>
        <w:rPr>
          <w:i/>
          <w:iCs/>
        </w:rPr>
        <w:t xml:space="preserve">Samenwerken in </w:t>
      </w:r>
      <w:r w:rsidR="00E61613">
        <w:rPr>
          <w:i/>
          <w:iCs/>
        </w:rPr>
        <w:t>E</w:t>
      </w:r>
      <w:r>
        <w:rPr>
          <w:i/>
          <w:iCs/>
        </w:rPr>
        <w:t>uropa</w:t>
      </w:r>
      <w:r w:rsidR="000555C7">
        <w:rPr>
          <w:i/>
          <w:iCs/>
        </w:rPr>
        <w:t xml:space="preserve"> met</w:t>
      </w:r>
      <w:r>
        <w:rPr>
          <w:i/>
          <w:iCs/>
        </w:rPr>
        <w:t xml:space="preserve"> een</w:t>
      </w:r>
      <w:r w:rsidR="000555C7">
        <w:rPr>
          <w:i/>
          <w:iCs/>
        </w:rPr>
        <w:t xml:space="preserve"> sterke</w:t>
      </w:r>
      <w:r>
        <w:rPr>
          <w:i/>
          <w:iCs/>
        </w:rPr>
        <w:t xml:space="preserve"> C</w:t>
      </w:r>
      <w:r w:rsidR="000555C7">
        <w:rPr>
          <w:i/>
          <w:iCs/>
        </w:rPr>
        <w:t xml:space="preserve">ircular </w:t>
      </w:r>
      <w:r>
        <w:rPr>
          <w:i/>
          <w:iCs/>
        </w:rPr>
        <w:t>E</w:t>
      </w:r>
      <w:r w:rsidR="000555C7">
        <w:rPr>
          <w:i/>
          <w:iCs/>
        </w:rPr>
        <w:t xml:space="preserve">conomy </w:t>
      </w:r>
      <w:r>
        <w:rPr>
          <w:i/>
          <w:iCs/>
        </w:rPr>
        <w:t>A</w:t>
      </w:r>
      <w:r w:rsidR="000555C7">
        <w:rPr>
          <w:i/>
          <w:iCs/>
        </w:rPr>
        <w:t>ct</w:t>
      </w:r>
    </w:p>
    <w:p w:rsidR="00650BE0" w:rsidP="00A000FA" w:rsidRDefault="005B603D" w14:paraId="374951F5" w14:textId="12D77AB3">
      <w:r w:rsidRPr="004B571C">
        <w:t>Voor de transitie naar een circulaire economie is</w:t>
      </w:r>
      <w:r w:rsidR="000555C7">
        <w:t xml:space="preserve"> krachtig</w:t>
      </w:r>
      <w:r w:rsidRPr="004B571C">
        <w:t xml:space="preserve"> Europees beleid van groot belang</w:t>
      </w:r>
      <w:r w:rsidR="001B7C2B">
        <w:rPr>
          <w:rStyle w:val="FootnoteReference"/>
        </w:rPr>
        <w:footnoteReference w:id="10"/>
      </w:r>
      <w:r w:rsidRPr="004B571C">
        <w:t xml:space="preserve">. </w:t>
      </w:r>
      <w:r w:rsidR="00650BE0">
        <w:t xml:space="preserve">Nederland kan de transitie niet alleen maken. </w:t>
      </w:r>
      <w:r w:rsidRPr="004B571C">
        <w:t>Door maatregelen op Europees niveau te treffen wordt een gelijk speelveld gecreëerd voor ondernemers</w:t>
      </w:r>
      <w:r w:rsidR="00B46B5B">
        <w:t xml:space="preserve"> binnen de Unie</w:t>
      </w:r>
      <w:r w:rsidR="008E6165">
        <w:t xml:space="preserve">. </w:t>
      </w:r>
      <w:r w:rsidR="00614FFB">
        <w:t>Maatregelen op EU-niveau kunnen ook bijdragen aan</w:t>
      </w:r>
      <w:r w:rsidR="008E6165">
        <w:t xml:space="preserve"> een </w:t>
      </w:r>
      <w:r w:rsidR="0067397B">
        <w:t xml:space="preserve">gelijker </w:t>
      </w:r>
      <w:r w:rsidR="008E6165">
        <w:t>mondiaal speelveld</w:t>
      </w:r>
      <w:r w:rsidR="00614FFB">
        <w:t xml:space="preserve"> voor Europese ondernemers</w:t>
      </w:r>
      <w:r w:rsidR="0067397B">
        <w:t xml:space="preserve">, binnen de kaders van internationale </w:t>
      </w:r>
      <w:r w:rsidR="00127DFE">
        <w:t>verplichtingen</w:t>
      </w:r>
      <w:r w:rsidRPr="004B571C" w:rsidR="007E17BF">
        <w:t>.</w:t>
      </w:r>
      <w:r w:rsidR="00B46B5B">
        <w:t xml:space="preserve"> </w:t>
      </w:r>
      <w:r w:rsidR="00650BE0">
        <w:t xml:space="preserve">Europese samenwerking </w:t>
      </w:r>
      <w:r w:rsidR="00A000FA">
        <w:t xml:space="preserve">is noodzakelijk </w:t>
      </w:r>
      <w:r w:rsidR="00A15C9C">
        <w:t>om te</w:t>
      </w:r>
      <w:r w:rsidR="00650BE0">
        <w:t xml:space="preserve"> concurreren met niet-Europese landen</w:t>
      </w:r>
      <w:r w:rsidR="00A15C9C">
        <w:t xml:space="preserve"> en om</w:t>
      </w:r>
      <w:r w:rsidR="00A000FA">
        <w:t xml:space="preserve"> de </w:t>
      </w:r>
      <w:r w:rsidR="00E146A6">
        <w:t xml:space="preserve">open </w:t>
      </w:r>
      <w:r w:rsidR="00A000FA">
        <w:t>strategische autonomie van Nederland en Europa</w:t>
      </w:r>
      <w:r w:rsidR="00A15C9C">
        <w:t xml:space="preserve"> te versterken</w:t>
      </w:r>
      <w:r w:rsidR="00A000FA">
        <w:t xml:space="preserve">. </w:t>
      </w:r>
      <w:r w:rsidR="00650BE0">
        <w:t xml:space="preserve">Met het beter hergebruiken en recyclen van </w:t>
      </w:r>
      <w:r w:rsidR="0050711E">
        <w:t>kritieke grondstoffen</w:t>
      </w:r>
      <w:r w:rsidR="00650BE0">
        <w:t xml:space="preserve"> en </w:t>
      </w:r>
      <w:r w:rsidR="00A000FA">
        <w:t xml:space="preserve">het creëren van </w:t>
      </w:r>
      <w:r w:rsidR="00650BE0">
        <w:t xml:space="preserve">een interne markt voor </w:t>
      </w:r>
      <w:r w:rsidR="00614FFB">
        <w:t xml:space="preserve">secundaire </w:t>
      </w:r>
      <w:r w:rsidR="00775FFD">
        <w:t>grondstoffen, kunnen</w:t>
      </w:r>
      <w:r w:rsidR="0090451E">
        <w:t xml:space="preserve"> bijvoorbeeld</w:t>
      </w:r>
      <w:r w:rsidR="00650BE0">
        <w:t xml:space="preserve"> belangrijke grondstoffen in Europa </w:t>
      </w:r>
      <w:r w:rsidR="008E6165">
        <w:t>worden verwerkt en hergebruikt</w:t>
      </w:r>
      <w:r w:rsidR="00650BE0">
        <w:t xml:space="preserve"> en wordt de EU minder afhankelijk van import hiervan</w:t>
      </w:r>
      <w:r w:rsidRPr="004B571C" w:rsidR="007E17BF">
        <w:t xml:space="preserve">. </w:t>
      </w:r>
    </w:p>
    <w:p w:rsidR="00650BE0" w:rsidP="004B571C" w:rsidRDefault="00650BE0" w14:paraId="4B72DBF4" w14:textId="77777777"/>
    <w:p w:rsidR="005B603D" w:rsidP="004B571C" w:rsidRDefault="00650BE0" w14:paraId="6F9EFD59" w14:textId="1C3B1DC6">
      <w:r>
        <w:t xml:space="preserve">Een belangrijk middel hiervoor </w:t>
      </w:r>
      <w:r w:rsidR="00A15C9C">
        <w:t>is de</w:t>
      </w:r>
      <w:r>
        <w:t xml:space="preserve"> </w:t>
      </w:r>
      <w:r w:rsidRPr="004B571C" w:rsidR="007E17BF">
        <w:t xml:space="preserve">Europese </w:t>
      </w:r>
      <w:r w:rsidR="000555C7">
        <w:t xml:space="preserve">Circular Economy Act </w:t>
      </w:r>
      <w:r>
        <w:t>(CE Act), die de Commissie heeft aangekondigd voor eind 2026</w:t>
      </w:r>
      <w:r w:rsidRPr="004B571C" w:rsidR="007E17BF">
        <w:t xml:space="preserve">. </w:t>
      </w:r>
      <w:r w:rsidR="00050D9A">
        <w:t xml:space="preserve">De </w:t>
      </w:r>
      <w:r w:rsidRPr="00650BE0" w:rsidR="00050D9A">
        <w:t xml:space="preserve">Act </w:t>
      </w:r>
      <w:r w:rsidR="00050D9A">
        <w:t xml:space="preserve">gaat samen met enkele herzieningen van wetgeving, en volgt op recente wetgeving zoals de Ecodesign richtlijn. </w:t>
      </w:r>
      <w:r w:rsidR="0090451E">
        <w:t xml:space="preserve">Met deze Act wil de Commissie </w:t>
      </w:r>
      <w:r w:rsidR="00A15C9C">
        <w:t>Europ</w:t>
      </w:r>
      <w:r w:rsidR="00050D9A">
        <w:t>a</w:t>
      </w:r>
      <w:r w:rsidR="00A15C9C">
        <w:t xml:space="preserve"> positioneren als</w:t>
      </w:r>
      <w:r w:rsidR="0090451E">
        <w:t xml:space="preserve"> wereldleider in de circulaire economie in 2030. D</w:t>
      </w:r>
      <w:r w:rsidR="00A1189F">
        <w:t>it voornemen</w:t>
      </w:r>
      <w:r w:rsidR="0090451E">
        <w:t xml:space="preserve"> past bij de</w:t>
      </w:r>
      <w:r w:rsidR="000555C7">
        <w:t xml:space="preserve"> </w:t>
      </w:r>
      <w:r w:rsidR="0090451E">
        <w:t xml:space="preserve">Nederlandse inzet in het NPCE, en het kabinet zal daarom </w:t>
      </w:r>
      <w:r w:rsidR="00A15C9C">
        <w:t>ijveren voor</w:t>
      </w:r>
      <w:r w:rsidR="0090451E">
        <w:t xml:space="preserve"> een</w:t>
      </w:r>
      <w:r w:rsidR="00050D9A">
        <w:t xml:space="preserve"> sterke</w:t>
      </w:r>
      <w:r w:rsidR="0090451E">
        <w:t xml:space="preserve"> en effectieve CE Act</w:t>
      </w:r>
      <w:r w:rsidR="00A176A4">
        <w:t xml:space="preserve">, die past bij </w:t>
      </w:r>
      <w:r w:rsidR="008E6165">
        <w:t>een eerlijk mondiaal speelveld</w:t>
      </w:r>
      <w:r w:rsidR="001B7C2B">
        <w:t xml:space="preserve"> en </w:t>
      </w:r>
      <w:r w:rsidR="00876041">
        <w:t xml:space="preserve">de </w:t>
      </w:r>
      <w:r w:rsidR="001B7C2B">
        <w:t xml:space="preserve">daarbij horende </w:t>
      </w:r>
      <w:r w:rsidR="00614FFB">
        <w:t xml:space="preserve">internationale </w:t>
      </w:r>
      <w:r w:rsidR="001B7C2B">
        <w:t>afspraken</w:t>
      </w:r>
      <w:r w:rsidR="008E6165">
        <w:t>,</w:t>
      </w:r>
      <w:r w:rsidR="001B7C2B">
        <w:t xml:space="preserve"> de strategische onafhankelijkheid van Europa, en</w:t>
      </w:r>
      <w:r w:rsidR="008E6165">
        <w:t xml:space="preserve"> de huidige </w:t>
      </w:r>
      <w:r w:rsidR="00A176A4">
        <w:t xml:space="preserve">uitdagingen </w:t>
      </w:r>
      <w:r w:rsidR="008E6165">
        <w:t>op het gebied van klimaat</w:t>
      </w:r>
      <w:r w:rsidR="00127DFE">
        <w:t>,</w:t>
      </w:r>
      <w:r w:rsidR="008E6165">
        <w:t xml:space="preserve"> milieu</w:t>
      </w:r>
      <w:r w:rsidR="00127DFE">
        <w:t xml:space="preserve"> en geopolitiek</w:t>
      </w:r>
      <w:r w:rsidR="00B46B5B">
        <w:t xml:space="preserve">. </w:t>
      </w:r>
      <w:r w:rsidR="0090451E">
        <w:t>Hiermee komen we ook tegemoet aan de wensen van Nederlandse bedrijven om daadwerkelijk één Europese interne markt</w:t>
      </w:r>
      <w:r w:rsidR="00A000FA">
        <w:t xml:space="preserve"> te creëren voor de circulaire economie</w:t>
      </w:r>
      <w:r w:rsidR="0090451E">
        <w:t xml:space="preserve">, </w:t>
      </w:r>
      <w:r w:rsidR="00A000FA">
        <w:t xml:space="preserve">bestaande </w:t>
      </w:r>
      <w:r w:rsidR="0090451E">
        <w:t xml:space="preserve">belemmeringen </w:t>
      </w:r>
      <w:r w:rsidR="00A000FA">
        <w:t xml:space="preserve">weg te nemen, en </w:t>
      </w:r>
      <w:r w:rsidR="0090451E">
        <w:t>te werken naar een toekomstbestendige</w:t>
      </w:r>
      <w:r w:rsidR="00CC414E">
        <w:t xml:space="preserve"> en duurzame</w:t>
      </w:r>
      <w:r w:rsidR="0090451E">
        <w:t xml:space="preserve"> economie.  </w:t>
      </w:r>
    </w:p>
    <w:p w:rsidR="00CA79CE" w:rsidP="004B571C" w:rsidRDefault="00CA79CE" w14:paraId="29181868" w14:textId="77777777"/>
    <w:p w:rsidRPr="00BE2E4B" w:rsidR="00DA2DFA" w:rsidP="00DA2DFA" w:rsidRDefault="00DA2DFA" w14:paraId="2D009680" w14:textId="77777777">
      <w:pPr>
        <w:rPr>
          <w:i/>
          <w:iCs/>
        </w:rPr>
      </w:pPr>
      <w:r w:rsidRPr="00BE2E4B">
        <w:rPr>
          <w:i/>
          <w:iCs/>
        </w:rPr>
        <w:t xml:space="preserve">Opvolging advies van </w:t>
      </w:r>
      <w:r>
        <w:rPr>
          <w:i/>
          <w:iCs/>
        </w:rPr>
        <w:t>de P</w:t>
      </w:r>
      <w:r w:rsidRPr="00BE2E4B">
        <w:rPr>
          <w:i/>
          <w:iCs/>
        </w:rPr>
        <w:t>lastictafel</w:t>
      </w:r>
    </w:p>
    <w:p w:rsidRPr="00B22CFC" w:rsidR="00B22CFC" w:rsidP="00B22CFC" w:rsidRDefault="00B22CFC" w14:paraId="4107E259" w14:textId="2CE0CF5E">
      <w:r w:rsidRPr="00B22CFC">
        <w:t xml:space="preserve">Het is voor de Nederlandse economie en </w:t>
      </w:r>
      <w:r w:rsidR="00D04218">
        <w:t xml:space="preserve">open strategische </w:t>
      </w:r>
      <w:r w:rsidRPr="00B22CFC">
        <w:t>autonomie belangrijk dat de Nederlandse plasticsector innovatief en toekomstbestendig blijft. Dat is in het huidige mondiale landschap, met onder andere overproductie in Azië, geen gemakkelijke opgave. Ik ben dan ook dankbaar voor de adviezen van de Plastictafel, die heeft plaatsgevonden onder leiding van de Speciale Regeringsvertegenwoordiger Circulaire Economie</w:t>
      </w:r>
      <w:r w:rsidR="00C62C63">
        <w:t xml:space="preserve">. Op </w:t>
      </w:r>
      <w:r w:rsidR="000D5524">
        <w:t>26 september</w:t>
      </w:r>
      <w:r w:rsidR="00B048E0">
        <w:t xml:space="preserve"> jl.</w:t>
      </w:r>
      <w:r w:rsidR="000D5524">
        <w:t xml:space="preserve"> </w:t>
      </w:r>
      <w:r w:rsidR="00C62C63">
        <w:t xml:space="preserve">heb ik </w:t>
      </w:r>
      <w:r w:rsidR="000D5524">
        <w:t>een eerste inhoudelijke appreciatie gegeven</w:t>
      </w:r>
      <w:r w:rsidR="00600E53">
        <w:t>.</w:t>
      </w:r>
      <w:r w:rsidR="00005593">
        <w:rPr>
          <w:rStyle w:val="FootnoteReference"/>
        </w:rPr>
        <w:footnoteReference w:id="11"/>
      </w:r>
      <w:r w:rsidR="00005593">
        <w:t xml:space="preserve"> </w:t>
      </w:r>
      <w:r w:rsidR="00600E53">
        <w:t>L</w:t>
      </w:r>
      <w:r w:rsidRPr="00B22CFC">
        <w:t xml:space="preserve">ater dit jaar </w:t>
      </w:r>
      <w:r w:rsidR="00C62C63">
        <w:t xml:space="preserve">zal ik uw Kamer </w:t>
      </w:r>
      <w:r w:rsidRPr="00B22CFC">
        <w:t>uitgebreider</w:t>
      </w:r>
      <w:r w:rsidR="00C62C63">
        <w:t xml:space="preserve"> berichten</w:t>
      </w:r>
      <w:r w:rsidRPr="00B22CFC">
        <w:t>.</w:t>
      </w:r>
    </w:p>
    <w:p w:rsidR="00E61613" w:rsidP="00CA79CE" w:rsidRDefault="00E61613" w14:paraId="5B2B7D9F" w14:textId="77777777">
      <w:pPr>
        <w:rPr>
          <w:b/>
          <w:bCs/>
        </w:rPr>
      </w:pPr>
    </w:p>
    <w:p w:rsidRPr="00935C8B" w:rsidR="003F40AE" w:rsidP="00CA79CE" w:rsidRDefault="003F40AE" w14:paraId="62E3E4E0" w14:textId="77777777">
      <w:pPr>
        <w:rPr>
          <w:b/>
          <w:bCs/>
        </w:rPr>
      </w:pPr>
    </w:p>
    <w:p w:rsidRPr="004B571C" w:rsidR="008333BF" w:rsidP="004C535A" w:rsidRDefault="00A1189F" w14:paraId="458DC988" w14:textId="556586F5">
      <w:pPr>
        <w:rPr>
          <w:b/>
          <w:bCs/>
        </w:rPr>
      </w:pPr>
      <w:r>
        <w:rPr>
          <w:b/>
          <w:bCs/>
        </w:rPr>
        <w:t>Tot slot</w:t>
      </w:r>
    </w:p>
    <w:p w:rsidR="001D10FF" w:rsidP="001D10FF" w:rsidRDefault="00E0781F" w14:paraId="1D94D175" w14:textId="4404F24D">
      <w:r w:rsidRPr="00AA51BE">
        <w:t xml:space="preserve">Met dit geactualiseerde NPCE zetten we weer een stap op weg naar </w:t>
      </w:r>
      <w:r w:rsidR="008A21AD">
        <w:t>een</w:t>
      </w:r>
      <w:r w:rsidRPr="00AA51BE">
        <w:t xml:space="preserve"> circulaire economie.</w:t>
      </w:r>
      <w:r w:rsidR="003D7E04">
        <w:t xml:space="preserve"> Er is bijzonder veel enthousiasme bij bedrijven, </w:t>
      </w:r>
      <w:r w:rsidR="00B26027">
        <w:t xml:space="preserve">maatschappelijke organisaties, </w:t>
      </w:r>
      <w:r w:rsidR="00904DFD">
        <w:t>burgers</w:t>
      </w:r>
      <w:r w:rsidR="003D7E04">
        <w:t>, medeoverheden en andere stakeholders om deze economie van de toekomst vorm te geven.</w:t>
      </w:r>
      <w:r w:rsidR="00E14C4C">
        <w:t xml:space="preserve"> </w:t>
      </w:r>
      <w:r w:rsidR="00904DFD">
        <w:t xml:space="preserve">Tegelijkertijd </w:t>
      </w:r>
      <w:r w:rsidR="008A21AD">
        <w:t>ervaren</w:t>
      </w:r>
      <w:r w:rsidR="00904DFD">
        <w:t xml:space="preserve"> veel partijen dagelijks dat er nog veel uitdagingen zijn </w:t>
      </w:r>
      <w:r w:rsidR="008A21AD">
        <w:t>om</w:t>
      </w:r>
      <w:r w:rsidR="00904DFD">
        <w:t xml:space="preserve"> een gezonde circulaire businesscase </w:t>
      </w:r>
      <w:r w:rsidR="008A21AD">
        <w:t xml:space="preserve">van de grond te krijgen </w:t>
      </w:r>
      <w:r w:rsidR="00904DFD">
        <w:t xml:space="preserve">en </w:t>
      </w:r>
      <w:r w:rsidR="008A21AD">
        <w:t xml:space="preserve">onderdelen van </w:t>
      </w:r>
      <w:r w:rsidR="00904DFD">
        <w:t>circulaire productieketens</w:t>
      </w:r>
      <w:r w:rsidR="008A21AD">
        <w:t xml:space="preserve"> op elkaar af te stemmen</w:t>
      </w:r>
      <w:r w:rsidR="00904DFD">
        <w:t xml:space="preserve">. In </w:t>
      </w:r>
      <w:r w:rsidR="00F101D1">
        <w:t>het proces van</w:t>
      </w:r>
      <w:r w:rsidR="00904DFD">
        <w:t xml:space="preserve"> totstandkoming </w:t>
      </w:r>
      <w:r w:rsidR="008A21AD">
        <w:t>benadrukten</w:t>
      </w:r>
      <w:r w:rsidR="00904DFD">
        <w:t xml:space="preserve"> verschillende partijen dat e</w:t>
      </w:r>
      <w:r w:rsidRPr="00AA51BE" w:rsidR="00904DFD">
        <w:t>r</w:t>
      </w:r>
      <w:r w:rsidR="00904DFD">
        <w:t xml:space="preserve"> nog steeds</w:t>
      </w:r>
      <w:r w:rsidRPr="00AA51BE" w:rsidR="00904DFD">
        <w:t xml:space="preserve"> een gat </w:t>
      </w:r>
      <w:r w:rsidR="00904DFD">
        <w:t xml:space="preserve">is </w:t>
      </w:r>
      <w:r w:rsidRPr="00AA51BE" w:rsidR="00904DFD">
        <w:t>tussen wat echt nodig is om op koers te liggen voor een volledig circulaire economie in 2050 en wat we aan effect verwachten van de maatregelen in het NPCE.</w:t>
      </w:r>
      <w:r w:rsidRPr="004B571C" w:rsidR="004B571C">
        <w:t xml:space="preserve"> </w:t>
      </w:r>
      <w:r w:rsidR="008F3C87">
        <w:t xml:space="preserve">Dat is een terechte constatering, hiermee zijn we er niet. </w:t>
      </w:r>
      <w:r w:rsidRPr="001D10FF" w:rsidR="001D10FF">
        <w:t xml:space="preserve"> </w:t>
      </w:r>
    </w:p>
    <w:p w:rsidR="00600E53" w:rsidP="001D10FF" w:rsidRDefault="00600E53" w14:paraId="05541530" w14:textId="5D788844">
      <w:r>
        <w:t xml:space="preserve">Het PBL heeft op </w:t>
      </w:r>
      <w:r w:rsidR="00756AC0">
        <w:t xml:space="preserve">mijn </w:t>
      </w:r>
      <w:r>
        <w:t>verzoek</w:t>
      </w:r>
      <w:r w:rsidR="003F40AE">
        <w:t xml:space="preserve"> </w:t>
      </w:r>
      <w:r>
        <w:t>een beknopte analyse gemaakt</w:t>
      </w:r>
      <w:r w:rsidR="00005593">
        <w:rPr>
          <w:rStyle w:val="FootnoteReference"/>
        </w:rPr>
        <w:footnoteReference w:id="12"/>
      </w:r>
      <w:r w:rsidR="00005593">
        <w:t xml:space="preserve"> </w:t>
      </w:r>
      <w:r>
        <w:t>van bijgaande actualisatie van het NPCE</w:t>
      </w:r>
      <w:r w:rsidR="00756AC0">
        <w:t xml:space="preserve"> (NPCE 2025)</w:t>
      </w:r>
      <w:r>
        <w:t>,</w:t>
      </w:r>
      <w:r w:rsidR="003F40AE">
        <w:t xml:space="preserve"> </w:t>
      </w:r>
      <w:r>
        <w:t xml:space="preserve">waarin deze conclusie </w:t>
      </w:r>
      <w:r w:rsidR="00756AC0">
        <w:t xml:space="preserve">wordt </w:t>
      </w:r>
      <w:r>
        <w:t>gedeeld.</w:t>
      </w:r>
      <w:r w:rsidR="00756AC0">
        <w:t xml:space="preserve"> Ik </w:t>
      </w:r>
      <w:r w:rsidR="003F40AE">
        <w:t>doe</w:t>
      </w:r>
      <w:r w:rsidR="00756AC0">
        <w:t xml:space="preserve"> u bij</w:t>
      </w:r>
      <w:r w:rsidR="003F40AE">
        <w:t xml:space="preserve"> deze</w:t>
      </w:r>
      <w:r w:rsidR="00756AC0">
        <w:t xml:space="preserve"> de </w:t>
      </w:r>
      <w:r w:rsidR="00E17E73">
        <w:t xml:space="preserve">“Reflectie op de Actualisatie van het NPCE” </w:t>
      </w:r>
      <w:r w:rsidR="003F40AE">
        <w:t>toekomen</w:t>
      </w:r>
      <w:r w:rsidR="00756AC0">
        <w:t xml:space="preserve">. </w:t>
      </w:r>
    </w:p>
    <w:p w:rsidR="00D97FB8" w:rsidP="001D10FF" w:rsidRDefault="00D97FB8" w14:paraId="73B7337C" w14:textId="77777777"/>
    <w:p w:rsidR="00D85B1C" w:rsidP="00D85B1C" w:rsidRDefault="00CB584F" w14:paraId="39E44849" w14:textId="68F05B2B">
      <w:r w:rsidRPr="00CB584F">
        <w:t xml:space="preserve">Op artikel 21 van de IenW begroting staan middelen die beschikbaar zijn voor circulaire economie. De structurele middelen lopen af naar ongeveer 46 mln. in 2030 (hoofdstuk 7). Daarnaast zijn incidenteel Rijksmiddelen voor extra maatregelen beschikbaar gesteld, onder andere via het klimaatfonds. Een deel van deze incidentele middelen loopt in 2025 ten einde. In de verzamelbrief CE van 3 september 2025 heb ik al aangegeven dat er lastige keuzes moeten worden gemaakt, en gemeld dat een aantal subsidieregelingen </w:t>
      </w:r>
      <w:r w:rsidRPr="005F5DAC" w:rsidR="005F5DAC">
        <w:t>(EKOO CE, Circulaire Ketenprojecten, Ketendoorbraakprojecten en Circulair Implementeren en Opschalen)</w:t>
      </w:r>
      <w:r w:rsidR="005F5DAC">
        <w:t xml:space="preserve"> </w:t>
      </w:r>
      <w:r w:rsidRPr="00CB584F">
        <w:t>niet opengaan in 2026</w:t>
      </w:r>
      <w:r w:rsidRPr="00F52C19" w:rsidR="00D85B1C">
        <w:t xml:space="preserve">. </w:t>
      </w:r>
    </w:p>
    <w:p w:rsidR="000555C7" w:rsidP="006B5472" w:rsidRDefault="000555C7" w14:paraId="0B8CBA8E" w14:textId="77777777"/>
    <w:p w:rsidR="00D97FB8" w:rsidP="00E14C4C" w:rsidRDefault="00B54130" w14:paraId="46A4D469" w14:textId="714A0E98">
      <w:r>
        <w:rPr>
          <w:rFonts w:eastAsia="Times New Roman"/>
        </w:rPr>
        <w:t xml:space="preserve">Desondanks is er het vertrouwen dat we ondanks teruglopende middelen </w:t>
      </w:r>
      <w:r w:rsidR="00D85B1C">
        <w:rPr>
          <w:rFonts w:eastAsia="Times New Roman"/>
        </w:rPr>
        <w:t xml:space="preserve">belangrijke </w:t>
      </w:r>
      <w:r>
        <w:rPr>
          <w:rFonts w:eastAsia="Times New Roman"/>
        </w:rPr>
        <w:t>stappen zetten.</w:t>
      </w:r>
      <w:r>
        <w:t xml:space="preserve"> Het einddoel blijft overeind: een nieuwe –circulaire – economie </w:t>
      </w:r>
      <w:r w:rsidRPr="002F216F" w:rsidR="003346B3">
        <w:t>die</w:t>
      </w:r>
      <w:r w:rsidR="004F7881">
        <w:t xml:space="preserve"> </w:t>
      </w:r>
      <w:r w:rsidRPr="002F216F" w:rsidR="000C1CB1">
        <w:t>strategisch onafhankelijker</w:t>
      </w:r>
      <w:r w:rsidR="00335A15">
        <w:t>,</w:t>
      </w:r>
      <w:r>
        <w:t xml:space="preserve"> innovatief en schoon is.</w:t>
      </w:r>
      <w:r w:rsidR="00704A64">
        <w:t xml:space="preserve"> </w:t>
      </w:r>
      <w:r>
        <w:t>Over d</w:t>
      </w:r>
      <w:r w:rsidR="00704A64">
        <w:t>ie circulaire economie en deze</w:t>
      </w:r>
      <w:r w:rsidR="009B405E">
        <w:t xml:space="preserve"> actualisatie van het Nationaal Programma Circulaire Economie</w:t>
      </w:r>
      <w:r>
        <w:t xml:space="preserve"> </w:t>
      </w:r>
      <w:r w:rsidR="004310AB">
        <w:t xml:space="preserve">ga </w:t>
      </w:r>
      <w:r>
        <w:t xml:space="preserve">ik </w:t>
      </w:r>
      <w:r w:rsidR="004310AB">
        <w:t>graag met uw Kamer in gesprek</w:t>
      </w:r>
      <w:r w:rsidR="008964E2">
        <w:t>.</w:t>
      </w:r>
    </w:p>
    <w:p w:rsidR="00335A15" w:rsidP="00E14C4C" w:rsidRDefault="00335A15" w14:paraId="2C654FD3" w14:textId="77777777"/>
    <w:p w:rsidR="00F87933" w:rsidRDefault="00566A97" w14:paraId="4F363E2F" w14:textId="6AB5E6AE">
      <w:pPr>
        <w:pStyle w:val="Slotzin"/>
      </w:pPr>
      <w:r>
        <w:t>Hoogachtend,</w:t>
      </w:r>
    </w:p>
    <w:p w:rsidR="00F87933" w:rsidRDefault="00566A97" w14:paraId="6EFC7746" w14:textId="77777777">
      <w:pPr>
        <w:pStyle w:val="OndertekeningArea1"/>
      </w:pPr>
      <w:r>
        <w:t>DE STAATSSECRETARIS VAN INFRASTRUCTUUR EN WATERSTAAT - OPENBAAR VERVOER EN MILIEU,</w:t>
      </w:r>
    </w:p>
    <w:p w:rsidR="002F516C" w:rsidP="002F516C" w:rsidRDefault="002F516C" w14:paraId="5E4E2715" w14:textId="77777777"/>
    <w:p w:rsidR="00335A15" w:rsidP="002F516C" w:rsidRDefault="00335A15" w14:paraId="003AFCBC" w14:textId="77777777"/>
    <w:p w:rsidRPr="002F516C" w:rsidR="002F516C" w:rsidP="002F516C" w:rsidRDefault="002F516C" w14:paraId="26D35090" w14:textId="77777777"/>
    <w:p w:rsidR="00335A15" w:rsidRDefault="00335A15" w14:paraId="68AD0629" w14:textId="77777777"/>
    <w:p w:rsidRPr="002F1A7B" w:rsidR="00125478" w:rsidRDefault="002F516C" w14:paraId="1563AB0F" w14:textId="75A57CAE">
      <w:r>
        <w:br/>
      </w:r>
      <w:r w:rsidR="00566A97">
        <w:t>A.A. (Thierry) Aartsen</w:t>
      </w:r>
    </w:p>
    <w:sectPr w:rsidRPr="002F1A7B" w:rsidR="00125478" w:rsidSect="00D94368">
      <w:headerReference w:type="even" r:id="rId14"/>
      <w:headerReference w:type="default" r:id="rId15"/>
      <w:footerReference w:type="even" r:id="rId16"/>
      <w:footerReference w:type="default" r:id="rId17"/>
      <w:headerReference w:type="first" r:id="rId18"/>
      <w:footerReference w:type="first" r:id="rId1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0A928" w14:textId="77777777" w:rsidR="00FF473D" w:rsidRDefault="00FF473D">
      <w:pPr>
        <w:spacing w:line="240" w:lineRule="auto"/>
      </w:pPr>
      <w:r>
        <w:separator/>
      </w:r>
    </w:p>
  </w:endnote>
  <w:endnote w:type="continuationSeparator" w:id="0">
    <w:p w14:paraId="7991A725" w14:textId="77777777" w:rsidR="00FF473D" w:rsidRDefault="00FF473D">
      <w:pPr>
        <w:spacing w:line="240" w:lineRule="auto"/>
      </w:pPr>
      <w:r>
        <w:continuationSeparator/>
      </w:r>
    </w:p>
  </w:endnote>
  <w:endnote w:type="continuationNotice" w:id="1">
    <w:p w14:paraId="44427FAC" w14:textId="77777777" w:rsidR="00FF473D" w:rsidRDefault="00FF47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1CE93" w14:textId="77777777" w:rsidR="0098533F" w:rsidRDefault="00985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A2B8B" w14:textId="77777777" w:rsidR="0098533F" w:rsidRDefault="00985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F664D" w14:textId="77777777" w:rsidR="0098533F" w:rsidRDefault="00985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79827" w14:textId="77777777" w:rsidR="00FF473D" w:rsidRDefault="00FF473D">
      <w:pPr>
        <w:spacing w:line="240" w:lineRule="auto"/>
      </w:pPr>
      <w:r>
        <w:separator/>
      </w:r>
    </w:p>
  </w:footnote>
  <w:footnote w:type="continuationSeparator" w:id="0">
    <w:p w14:paraId="34F6D294" w14:textId="77777777" w:rsidR="00FF473D" w:rsidRDefault="00FF473D">
      <w:pPr>
        <w:spacing w:line="240" w:lineRule="auto"/>
      </w:pPr>
      <w:r>
        <w:continuationSeparator/>
      </w:r>
    </w:p>
  </w:footnote>
  <w:footnote w:type="continuationNotice" w:id="1">
    <w:p w14:paraId="24D3CEF8" w14:textId="77777777" w:rsidR="00FF473D" w:rsidRDefault="00FF473D">
      <w:pPr>
        <w:spacing w:line="240" w:lineRule="auto"/>
      </w:pPr>
    </w:p>
  </w:footnote>
  <w:footnote w:id="2">
    <w:p w14:paraId="24846AAD" w14:textId="54D552EB" w:rsidR="0024262D" w:rsidRDefault="0024262D">
      <w:pPr>
        <w:pStyle w:val="FootnoteText"/>
      </w:pPr>
      <w:r>
        <w:rPr>
          <w:rStyle w:val="FootnoteReference"/>
        </w:rPr>
        <w:footnoteRef/>
      </w:r>
      <w:r>
        <w:t xml:space="preserve"> </w:t>
      </w:r>
      <w:r w:rsidRPr="004F089C">
        <w:rPr>
          <w:sz w:val="14"/>
          <w:szCs w:val="14"/>
        </w:rPr>
        <w:t>Onder d</w:t>
      </w:r>
      <w:r w:rsidR="00FA6E31">
        <w:rPr>
          <w:sz w:val="14"/>
          <w:szCs w:val="14"/>
        </w:rPr>
        <w:t>e</w:t>
      </w:r>
      <w:r w:rsidRPr="004F089C">
        <w:rPr>
          <w:sz w:val="14"/>
          <w:szCs w:val="14"/>
        </w:rPr>
        <w:t xml:space="preserve"> verantwoordelijkheid </w:t>
      </w:r>
      <w:r w:rsidR="00FA6E31">
        <w:rPr>
          <w:sz w:val="14"/>
          <w:szCs w:val="14"/>
        </w:rPr>
        <w:t xml:space="preserve">van de minister van EZ </w:t>
      </w:r>
      <w:r w:rsidRPr="004F089C">
        <w:rPr>
          <w:sz w:val="14"/>
          <w:szCs w:val="14"/>
        </w:rPr>
        <w:t>valt het algemeen economisch beleid</w:t>
      </w:r>
      <w:r>
        <w:rPr>
          <w:sz w:val="14"/>
          <w:szCs w:val="14"/>
        </w:rPr>
        <w:t xml:space="preserve"> en </w:t>
      </w:r>
      <w:r w:rsidRPr="004F089C">
        <w:rPr>
          <w:sz w:val="14"/>
          <w:szCs w:val="14"/>
        </w:rPr>
        <w:t xml:space="preserve">het thema </w:t>
      </w:r>
      <w:r>
        <w:rPr>
          <w:sz w:val="14"/>
          <w:szCs w:val="14"/>
        </w:rPr>
        <w:t>r</w:t>
      </w:r>
      <w:r w:rsidRPr="004F089C">
        <w:rPr>
          <w:sz w:val="14"/>
          <w:szCs w:val="14"/>
        </w:rPr>
        <w:t xml:space="preserve">uimte voor de </w:t>
      </w:r>
      <w:r>
        <w:rPr>
          <w:sz w:val="14"/>
          <w:szCs w:val="14"/>
        </w:rPr>
        <w:t>e</w:t>
      </w:r>
      <w:r w:rsidRPr="004F089C">
        <w:rPr>
          <w:sz w:val="14"/>
          <w:szCs w:val="14"/>
        </w:rPr>
        <w:t>conomie</w:t>
      </w:r>
      <w:r>
        <w:rPr>
          <w:sz w:val="14"/>
          <w:szCs w:val="14"/>
        </w:rPr>
        <w:t xml:space="preserve">. De minister van EZ is </w:t>
      </w:r>
      <w:r w:rsidRPr="004F089C">
        <w:rPr>
          <w:sz w:val="14"/>
          <w:szCs w:val="14"/>
        </w:rPr>
        <w:t>coördinerend en verantwoordelijk bewindspersoon voor de Nationale Grondstoffenstrategie, de leveringszekerheid van kritieke grondstoffen en voor de circulaire maakindustrie.</w:t>
      </w:r>
    </w:p>
  </w:footnote>
  <w:footnote w:id="3">
    <w:p w14:paraId="3E47BACF" w14:textId="6FFE5964" w:rsidR="0024262D" w:rsidRPr="00FA6E31" w:rsidRDefault="0024262D">
      <w:pPr>
        <w:pStyle w:val="FootnoteText"/>
        <w:rPr>
          <w:sz w:val="14"/>
          <w:szCs w:val="14"/>
        </w:rPr>
      </w:pPr>
      <w:r>
        <w:rPr>
          <w:rStyle w:val="FootnoteReference"/>
        </w:rPr>
        <w:footnoteRef/>
      </w:r>
      <w:r>
        <w:t xml:space="preserve"> </w:t>
      </w:r>
      <w:r w:rsidRPr="004F089C">
        <w:rPr>
          <w:sz w:val="14"/>
          <w:szCs w:val="14"/>
        </w:rPr>
        <w:t xml:space="preserve">De maatregelen uit het NPCE dragen bij aan de doelen van het klimaatbeleid en de realisatie van groene groei, waarvoor </w:t>
      </w:r>
      <w:r w:rsidR="00FA6E31">
        <w:rPr>
          <w:sz w:val="14"/>
          <w:szCs w:val="14"/>
        </w:rPr>
        <w:t xml:space="preserve">de minister van </w:t>
      </w:r>
      <w:r w:rsidRPr="004F089C">
        <w:rPr>
          <w:sz w:val="14"/>
          <w:szCs w:val="14"/>
        </w:rPr>
        <w:t xml:space="preserve">KGG </w:t>
      </w:r>
      <w:r w:rsidRPr="00715C74">
        <w:rPr>
          <w:sz w:val="14"/>
          <w:szCs w:val="14"/>
        </w:rPr>
        <w:t>coördinerend</w:t>
      </w:r>
      <w:r w:rsidRPr="004F089C">
        <w:rPr>
          <w:sz w:val="14"/>
          <w:szCs w:val="14"/>
        </w:rPr>
        <w:t xml:space="preserve"> verantwoordelijk is.</w:t>
      </w:r>
    </w:p>
  </w:footnote>
  <w:footnote w:id="4">
    <w:p w14:paraId="0D125EF0" w14:textId="227A8B77" w:rsidR="0024262D" w:rsidRDefault="0024262D">
      <w:pPr>
        <w:pStyle w:val="FootnoteText"/>
      </w:pPr>
      <w:r>
        <w:rPr>
          <w:rStyle w:val="FootnoteReference"/>
        </w:rPr>
        <w:footnoteRef/>
      </w:r>
      <w:r>
        <w:t xml:space="preserve"> </w:t>
      </w:r>
      <w:r w:rsidR="00FA6E31" w:rsidRPr="00FA6E31">
        <w:rPr>
          <w:sz w:val="14"/>
          <w:szCs w:val="14"/>
        </w:rPr>
        <w:t>Onder</w:t>
      </w:r>
      <w:r w:rsidR="00FA6E31">
        <w:rPr>
          <w:sz w:val="14"/>
          <w:szCs w:val="14"/>
        </w:rPr>
        <w:t xml:space="preserve"> </w:t>
      </w:r>
      <w:r w:rsidR="00FA6E31" w:rsidRPr="00FA6E31">
        <w:rPr>
          <w:sz w:val="14"/>
          <w:szCs w:val="14"/>
        </w:rPr>
        <w:t xml:space="preserve">de verantwoordelijkheid van de minister van VRO valt het beleid circulaire bouweconomie voor de woning- en utiliteitsbouw, wat bijdraagt aan het vergroten van de beschikbaarheid van (secundaire en biobased) materialen voor het (door-)bouwen en ook aan de verduurzaming en onderhoud en renovatie in de bouw. </w:t>
      </w:r>
      <w:r w:rsidRPr="0024262D">
        <w:rPr>
          <w:sz w:val="14"/>
          <w:szCs w:val="14"/>
        </w:rPr>
        <w:t xml:space="preserve">De </w:t>
      </w:r>
      <w:r w:rsidR="00FA6E31">
        <w:rPr>
          <w:sz w:val="14"/>
          <w:szCs w:val="14"/>
        </w:rPr>
        <w:t>m</w:t>
      </w:r>
      <w:r w:rsidRPr="0024262D">
        <w:rPr>
          <w:sz w:val="14"/>
          <w:szCs w:val="14"/>
        </w:rPr>
        <w:t>inister van VRO draagt op grond van de Omgevingswet de verantwoordelijkheid voor de landelijke wet- en regelgeving en EU-afspraken</w:t>
      </w:r>
      <w:r w:rsidR="00FA6E31">
        <w:rPr>
          <w:sz w:val="14"/>
          <w:szCs w:val="14"/>
        </w:rPr>
        <w:t>.</w:t>
      </w:r>
    </w:p>
  </w:footnote>
  <w:footnote w:id="5">
    <w:p w14:paraId="78A3BB19" w14:textId="2A012E71" w:rsidR="00784B5F" w:rsidRDefault="00784B5F">
      <w:pPr>
        <w:pStyle w:val="FootnoteText"/>
      </w:pPr>
      <w:r>
        <w:rPr>
          <w:rStyle w:val="FootnoteReference"/>
        </w:rPr>
        <w:footnoteRef/>
      </w:r>
      <w:r>
        <w:t xml:space="preserve"> </w:t>
      </w:r>
      <w:r w:rsidRPr="00005593">
        <w:rPr>
          <w:rFonts w:eastAsiaTheme="minorHAnsi" w:cstheme="minorBidi"/>
          <w:color w:val="auto"/>
          <w:kern w:val="2"/>
          <w:sz w:val="14"/>
          <w:szCs w:val="14"/>
          <w:lang w:eastAsia="en-US"/>
          <w14:ligatures w14:val="standardContextual"/>
        </w:rPr>
        <w:t>De derde ICER verscheen op 20 februari 2025</w:t>
      </w:r>
      <w:r w:rsidR="00005593">
        <w:rPr>
          <w:rFonts w:eastAsiaTheme="minorHAnsi" w:cstheme="minorBidi"/>
          <w:color w:val="auto"/>
          <w:kern w:val="2"/>
          <w:sz w:val="14"/>
          <w:szCs w:val="14"/>
          <w:lang w:eastAsia="en-US"/>
          <w14:ligatures w14:val="standardContextual"/>
        </w:rPr>
        <w:t>.</w:t>
      </w:r>
    </w:p>
  </w:footnote>
  <w:footnote w:id="6">
    <w:p w14:paraId="1FDAC1CD" w14:textId="4E12055F" w:rsidR="00672057" w:rsidRDefault="00672057" w:rsidP="00672057">
      <w:pPr>
        <w:pStyle w:val="FootnoteText"/>
      </w:pPr>
      <w:r>
        <w:rPr>
          <w:rStyle w:val="FootnoteReference"/>
        </w:rPr>
        <w:footnoteRef/>
      </w:r>
      <w:r>
        <w:t xml:space="preserve"> </w:t>
      </w:r>
      <w:r w:rsidRPr="00005593">
        <w:rPr>
          <w:rFonts w:eastAsiaTheme="minorHAnsi" w:cstheme="minorBidi"/>
          <w:color w:val="auto"/>
          <w:kern w:val="2"/>
          <w:sz w:val="14"/>
          <w:szCs w:val="14"/>
          <w:lang w:eastAsia="en-US"/>
          <w14:ligatures w14:val="standardContextual"/>
        </w:rPr>
        <w:t xml:space="preserve">Daarmee wordt invulling gegeven aan de motie Motie Gabriels 32852-346 en de toezegging aan het </w:t>
      </w:r>
      <w:r w:rsidR="00005593">
        <w:rPr>
          <w:rFonts w:eastAsiaTheme="minorHAnsi" w:cstheme="minorBidi"/>
          <w:color w:val="auto"/>
          <w:kern w:val="2"/>
          <w:sz w:val="14"/>
          <w:szCs w:val="14"/>
          <w:lang w:eastAsia="en-US"/>
          <w14:ligatures w14:val="standardContextual"/>
        </w:rPr>
        <w:t>l</w:t>
      </w:r>
      <w:r w:rsidRPr="00005593">
        <w:rPr>
          <w:rFonts w:eastAsiaTheme="minorHAnsi" w:cstheme="minorBidi"/>
          <w:color w:val="auto"/>
          <w:kern w:val="2"/>
          <w:sz w:val="14"/>
          <w:szCs w:val="14"/>
          <w:lang w:eastAsia="en-US"/>
          <w14:ligatures w14:val="standardContextual"/>
        </w:rPr>
        <w:t>id Kostic 202505-133</w:t>
      </w:r>
    </w:p>
  </w:footnote>
  <w:footnote w:id="7">
    <w:p w14:paraId="38196557" w14:textId="77777777" w:rsidR="00224F59" w:rsidRPr="00B048E0" w:rsidRDefault="00224F59" w:rsidP="00224F59">
      <w:pPr>
        <w:pStyle w:val="FootnoteText"/>
        <w:rPr>
          <w:rFonts w:eastAsiaTheme="minorHAnsi" w:cstheme="minorBidi"/>
          <w:color w:val="auto"/>
          <w:kern w:val="2"/>
          <w:sz w:val="14"/>
          <w:szCs w:val="14"/>
          <w:lang w:eastAsia="en-US"/>
          <w14:ligatures w14:val="standardContextual"/>
        </w:rPr>
      </w:pPr>
      <w:r w:rsidRPr="00B048E0">
        <w:rPr>
          <w:rFonts w:eastAsiaTheme="minorHAnsi" w:cstheme="minorBidi"/>
          <w:color w:val="auto"/>
          <w:kern w:val="2"/>
          <w:sz w:val="14"/>
          <w:szCs w:val="14"/>
          <w:lang w:eastAsia="en-US"/>
          <w14:ligatures w14:val="standardContextual"/>
        </w:rPr>
        <w:footnoteRef/>
      </w:r>
      <w:r w:rsidRPr="00B048E0">
        <w:rPr>
          <w:rFonts w:eastAsiaTheme="minorHAnsi" w:cstheme="minorBidi"/>
          <w:color w:val="auto"/>
          <w:kern w:val="2"/>
          <w:sz w:val="14"/>
          <w:szCs w:val="14"/>
          <w:lang w:eastAsia="en-US"/>
          <w14:ligatures w14:val="standardContextual"/>
        </w:rPr>
        <w:t xml:space="preserve"> En is daarmee een invulling van de Motie van Esch 32852-217</w:t>
      </w:r>
    </w:p>
  </w:footnote>
  <w:footnote w:id="8">
    <w:p w14:paraId="6E34F390" w14:textId="77777777" w:rsidR="00224F59" w:rsidRPr="00B048E0" w:rsidRDefault="00224F59" w:rsidP="00224F59">
      <w:pPr>
        <w:pStyle w:val="FootnoteText"/>
        <w:rPr>
          <w:rFonts w:eastAsiaTheme="minorHAnsi" w:cstheme="minorBidi"/>
          <w:color w:val="auto"/>
          <w:kern w:val="2"/>
          <w:sz w:val="14"/>
          <w:szCs w:val="14"/>
          <w:lang w:eastAsia="en-US"/>
          <w14:ligatures w14:val="standardContextual"/>
        </w:rPr>
      </w:pPr>
      <w:r w:rsidRPr="00B048E0">
        <w:rPr>
          <w:rFonts w:eastAsiaTheme="minorHAnsi" w:cstheme="minorBidi"/>
          <w:color w:val="auto"/>
          <w:kern w:val="2"/>
          <w:sz w:val="14"/>
          <w:szCs w:val="14"/>
          <w:lang w:eastAsia="en-US"/>
          <w14:ligatures w14:val="standardContextual"/>
        </w:rPr>
        <w:footnoteRef/>
      </w:r>
      <w:r w:rsidRPr="00B048E0">
        <w:rPr>
          <w:rFonts w:eastAsiaTheme="minorHAnsi" w:cstheme="minorBidi"/>
          <w:color w:val="auto"/>
          <w:kern w:val="2"/>
          <w:sz w:val="14"/>
          <w:szCs w:val="14"/>
          <w:lang w:eastAsia="en-US"/>
          <w14:ligatures w14:val="standardContextual"/>
        </w:rPr>
        <w:t xml:space="preserve"> </w:t>
      </w:r>
      <w:bookmarkStart w:id="3" w:name="_Hlk209599593"/>
      <w:r w:rsidRPr="00B048E0">
        <w:rPr>
          <w:rFonts w:eastAsiaTheme="minorHAnsi" w:cstheme="minorBidi"/>
          <w:color w:val="auto"/>
          <w:kern w:val="2"/>
          <w:sz w:val="14"/>
          <w:szCs w:val="14"/>
          <w:lang w:eastAsia="en-US"/>
          <w14:ligatures w14:val="standardContextual"/>
        </w:rPr>
        <w:t>32 852 Nr. 340</w:t>
      </w:r>
      <w:bookmarkEnd w:id="3"/>
    </w:p>
  </w:footnote>
  <w:footnote w:id="9">
    <w:p w14:paraId="2F1C7585" w14:textId="466C3169" w:rsidR="00B048E0" w:rsidRPr="00B048E0" w:rsidRDefault="00B048E0">
      <w:pPr>
        <w:pStyle w:val="FootnoteText"/>
        <w:rPr>
          <w:sz w:val="14"/>
          <w:szCs w:val="14"/>
        </w:rPr>
      </w:pPr>
      <w:r w:rsidRPr="00B048E0">
        <w:rPr>
          <w:rFonts w:eastAsiaTheme="minorHAnsi" w:cstheme="minorBidi"/>
          <w:color w:val="auto"/>
          <w:kern w:val="2"/>
          <w:sz w:val="14"/>
          <w:szCs w:val="14"/>
          <w:lang w:eastAsia="en-US"/>
          <w14:ligatures w14:val="standardContextual"/>
        </w:rPr>
        <w:footnoteRef/>
      </w:r>
      <w:r w:rsidRPr="00B048E0">
        <w:rPr>
          <w:rFonts w:eastAsiaTheme="minorHAnsi" w:cstheme="minorBidi"/>
          <w:color w:val="auto"/>
          <w:kern w:val="2"/>
          <w:sz w:val="14"/>
          <w:szCs w:val="14"/>
          <w:lang w:eastAsia="en-US"/>
          <w14:ligatures w14:val="standardContextual"/>
        </w:rPr>
        <w:t xml:space="preserve"> Kamerstuk 36 800-X, nr. 11</w:t>
      </w:r>
    </w:p>
  </w:footnote>
  <w:footnote w:id="10">
    <w:p w14:paraId="32C978E1" w14:textId="673C3DB5" w:rsidR="001B7C2B" w:rsidRDefault="001B7C2B">
      <w:pPr>
        <w:pStyle w:val="FootnoteText"/>
      </w:pPr>
      <w:r w:rsidRPr="00005593">
        <w:rPr>
          <w:rStyle w:val="FootnoteReference"/>
          <w:sz w:val="14"/>
          <w:szCs w:val="14"/>
        </w:rPr>
        <w:footnoteRef/>
      </w:r>
      <w:r w:rsidRPr="00005593">
        <w:rPr>
          <w:sz w:val="14"/>
          <w:szCs w:val="14"/>
        </w:rPr>
        <w:t xml:space="preserve"> Zie ook Kamerbrief EU-concurentievermogen: 21501-30, nr. 621</w:t>
      </w:r>
    </w:p>
  </w:footnote>
  <w:footnote w:id="11">
    <w:p w14:paraId="3F0CED0A" w14:textId="77777777" w:rsidR="00005593" w:rsidRPr="00422AB4" w:rsidRDefault="00005593" w:rsidP="00005593">
      <w:pPr>
        <w:pStyle w:val="FootnoteText"/>
        <w:rPr>
          <w:color w:val="auto"/>
          <w:sz w:val="14"/>
          <w:szCs w:val="14"/>
        </w:rPr>
      </w:pPr>
      <w:r w:rsidRPr="00335A15">
        <w:rPr>
          <w:rStyle w:val="FootnoteReference"/>
          <w:sz w:val="16"/>
          <w:szCs w:val="16"/>
        </w:rPr>
        <w:footnoteRef/>
      </w:r>
      <w:r w:rsidRPr="00335A15">
        <w:rPr>
          <w:sz w:val="16"/>
          <w:szCs w:val="16"/>
        </w:rPr>
        <w:t xml:space="preserve"> </w:t>
      </w:r>
      <w:hyperlink r:id="rId1" w:history="1">
        <w:r w:rsidRPr="00422AB4">
          <w:rPr>
            <w:rStyle w:val="Hyperlink"/>
            <w:color w:val="auto"/>
            <w:sz w:val="14"/>
            <w:szCs w:val="14"/>
          </w:rPr>
          <w:t>https://www.rijksoverheid.nl/documenten/kamerstukken/2025/09/26/kamerbrief-circulair-plastic</w:t>
        </w:r>
      </w:hyperlink>
      <w:r w:rsidRPr="00422AB4">
        <w:rPr>
          <w:color w:val="auto"/>
          <w:sz w:val="14"/>
          <w:szCs w:val="14"/>
        </w:rPr>
        <w:t xml:space="preserve"> </w:t>
      </w:r>
    </w:p>
  </w:footnote>
  <w:footnote w:id="12">
    <w:p w14:paraId="201E8EE1" w14:textId="77777777" w:rsidR="00005593" w:rsidRDefault="00005593" w:rsidP="00005593">
      <w:pPr>
        <w:pStyle w:val="FootnoteText"/>
      </w:pPr>
      <w:r w:rsidRPr="00005593">
        <w:rPr>
          <w:rStyle w:val="FootnoteReference"/>
          <w:sz w:val="14"/>
          <w:szCs w:val="14"/>
        </w:rPr>
        <w:footnoteRef/>
      </w:r>
      <w:r w:rsidRPr="00005593">
        <w:rPr>
          <w:sz w:val="14"/>
          <w:szCs w:val="14"/>
        </w:rPr>
        <w:t xml:space="preserve"> In opvolging van de toezegging aan het lid Kostiç 202505-138</w:t>
      </w:r>
      <w:r w:rsidRPr="00A1189F">
        <w:rPr>
          <w:sz w:val="16"/>
          <w:szCs w:val="16"/>
        </w:rPr>
        <w:t xml:space="preserve"> </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0A72" w14:textId="77777777" w:rsidR="0098533F" w:rsidRDefault="00985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44DCF" w14:textId="77777777" w:rsidR="00F87933" w:rsidRDefault="00566A97">
    <w:r>
      <w:rPr>
        <w:noProof/>
        <w:lang w:val="en-GB" w:eastAsia="en-GB"/>
      </w:rPr>
      <mc:AlternateContent>
        <mc:Choice Requires="wps">
          <w:drawing>
            <wp:anchor distT="0" distB="0" distL="0" distR="0" simplePos="0" relativeHeight="251658240" behindDoc="0" locked="1" layoutInCell="1" allowOverlap="1" wp14:anchorId="0047A632" wp14:editId="57BF70C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7BF0509" w14:textId="77777777" w:rsidR="00F87933" w:rsidRDefault="00566A97">
                          <w:pPr>
                            <w:pStyle w:val="AfzendgegevensKop0"/>
                          </w:pPr>
                          <w:r>
                            <w:t>Ministerie van Infrastructuur en Waterstaat</w:t>
                          </w:r>
                        </w:p>
                        <w:p w14:paraId="2DB6D492" w14:textId="77777777" w:rsidR="00444416" w:rsidRDefault="00444416" w:rsidP="00444416"/>
                        <w:p w14:paraId="257DB15A" w14:textId="77777777" w:rsidR="00444416" w:rsidRPr="00444416" w:rsidRDefault="00444416" w:rsidP="00444416">
                          <w:pPr>
                            <w:spacing w:line="276" w:lineRule="auto"/>
                            <w:rPr>
                              <w:b/>
                              <w:bCs/>
                              <w:sz w:val="13"/>
                              <w:szCs w:val="13"/>
                            </w:rPr>
                          </w:pPr>
                          <w:r w:rsidRPr="00444416">
                            <w:rPr>
                              <w:b/>
                              <w:bCs/>
                              <w:sz w:val="13"/>
                              <w:szCs w:val="13"/>
                            </w:rPr>
                            <w:t>Kenmerk</w:t>
                          </w:r>
                        </w:p>
                        <w:p w14:paraId="62098603" w14:textId="236F97A9" w:rsidR="00444416" w:rsidRPr="00444416" w:rsidRDefault="0098533F" w:rsidP="00444416">
                          <w:pPr>
                            <w:spacing w:line="276" w:lineRule="auto"/>
                            <w:rPr>
                              <w:sz w:val="13"/>
                              <w:szCs w:val="13"/>
                            </w:rPr>
                          </w:pPr>
                          <w:r w:rsidRPr="0098533F">
                            <w:rPr>
                              <w:sz w:val="13"/>
                              <w:szCs w:val="13"/>
                            </w:rPr>
                            <w:t>IENW/BSK-2025/259820</w:t>
                          </w:r>
                        </w:p>
                        <w:p w14:paraId="257C1D53" w14:textId="77777777" w:rsidR="00444416" w:rsidRPr="00444416" w:rsidRDefault="00444416" w:rsidP="00444416"/>
                      </w:txbxContent>
                    </wps:txbx>
                    <wps:bodyPr vert="horz" wrap="square" lIns="0" tIns="0" rIns="0" bIns="0" anchor="t" anchorCtr="0"/>
                  </wps:wsp>
                </a:graphicData>
              </a:graphic>
            </wp:anchor>
          </w:drawing>
        </mc:Choice>
        <mc:Fallback>
          <w:pict>
            <v:shapetype w14:anchorId="0047A63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7BF0509" w14:textId="77777777" w:rsidR="00F87933" w:rsidRDefault="00566A97">
                    <w:pPr>
                      <w:pStyle w:val="AfzendgegevensKop0"/>
                    </w:pPr>
                    <w:r>
                      <w:t>Ministerie van Infrastructuur en Waterstaat</w:t>
                    </w:r>
                  </w:p>
                  <w:p w14:paraId="2DB6D492" w14:textId="77777777" w:rsidR="00444416" w:rsidRDefault="00444416" w:rsidP="00444416"/>
                  <w:p w14:paraId="257DB15A" w14:textId="77777777" w:rsidR="00444416" w:rsidRPr="00444416" w:rsidRDefault="00444416" w:rsidP="00444416">
                    <w:pPr>
                      <w:spacing w:line="276" w:lineRule="auto"/>
                      <w:rPr>
                        <w:b/>
                        <w:bCs/>
                        <w:sz w:val="13"/>
                        <w:szCs w:val="13"/>
                      </w:rPr>
                    </w:pPr>
                    <w:r w:rsidRPr="00444416">
                      <w:rPr>
                        <w:b/>
                        <w:bCs/>
                        <w:sz w:val="13"/>
                        <w:szCs w:val="13"/>
                      </w:rPr>
                      <w:t>Kenmerk</w:t>
                    </w:r>
                  </w:p>
                  <w:p w14:paraId="62098603" w14:textId="236F97A9" w:rsidR="00444416" w:rsidRPr="00444416" w:rsidRDefault="0098533F" w:rsidP="00444416">
                    <w:pPr>
                      <w:spacing w:line="276" w:lineRule="auto"/>
                      <w:rPr>
                        <w:sz w:val="13"/>
                        <w:szCs w:val="13"/>
                      </w:rPr>
                    </w:pPr>
                    <w:r w:rsidRPr="0098533F">
                      <w:rPr>
                        <w:sz w:val="13"/>
                        <w:szCs w:val="13"/>
                      </w:rPr>
                      <w:t>IENW/BSK-2025/259820</w:t>
                    </w:r>
                  </w:p>
                  <w:p w14:paraId="257C1D53" w14:textId="77777777" w:rsidR="00444416" w:rsidRPr="00444416" w:rsidRDefault="00444416" w:rsidP="0044441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665761DB" wp14:editId="415200A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E9C4A2" w14:textId="245AAED8" w:rsidR="00F87933" w:rsidRDefault="00566A97">
                          <w:pPr>
                            <w:pStyle w:val="Referentiegegevens"/>
                          </w:pPr>
                          <w:r>
                            <w:t xml:space="preserve">Pagina </w:t>
                          </w:r>
                          <w:r>
                            <w:fldChar w:fldCharType="begin"/>
                          </w:r>
                          <w:r>
                            <w:instrText>PAGE</w:instrText>
                          </w:r>
                          <w:r>
                            <w:fldChar w:fldCharType="separate"/>
                          </w:r>
                          <w:r w:rsidR="00F14ECF">
                            <w:rPr>
                              <w:noProof/>
                            </w:rPr>
                            <w:t>2</w:t>
                          </w:r>
                          <w:r>
                            <w:fldChar w:fldCharType="end"/>
                          </w:r>
                          <w:r>
                            <w:t xml:space="preserve"> van </w:t>
                          </w:r>
                          <w:r>
                            <w:fldChar w:fldCharType="begin"/>
                          </w:r>
                          <w:r>
                            <w:instrText>NUMPAGES</w:instrText>
                          </w:r>
                          <w:r>
                            <w:fldChar w:fldCharType="separate"/>
                          </w:r>
                          <w:r w:rsidR="00F14ECF">
                            <w:rPr>
                              <w:noProof/>
                            </w:rPr>
                            <w:t>2</w:t>
                          </w:r>
                          <w:r>
                            <w:fldChar w:fldCharType="end"/>
                          </w:r>
                        </w:p>
                      </w:txbxContent>
                    </wps:txbx>
                    <wps:bodyPr vert="horz" wrap="square" lIns="0" tIns="0" rIns="0" bIns="0" anchor="t" anchorCtr="0"/>
                  </wps:wsp>
                </a:graphicData>
              </a:graphic>
            </wp:anchor>
          </w:drawing>
        </mc:Choice>
        <mc:Fallback>
          <w:pict>
            <v:shape w14:anchorId="665761DB"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5E9C4A2" w14:textId="245AAED8" w:rsidR="00F87933" w:rsidRDefault="00566A97">
                    <w:pPr>
                      <w:pStyle w:val="Referentiegegevens"/>
                    </w:pPr>
                    <w:r>
                      <w:t xml:space="preserve">Pagina </w:t>
                    </w:r>
                    <w:r>
                      <w:fldChar w:fldCharType="begin"/>
                    </w:r>
                    <w:r>
                      <w:instrText>PAGE</w:instrText>
                    </w:r>
                    <w:r>
                      <w:fldChar w:fldCharType="separate"/>
                    </w:r>
                    <w:r w:rsidR="00F14ECF">
                      <w:rPr>
                        <w:noProof/>
                      </w:rPr>
                      <w:t>2</w:t>
                    </w:r>
                    <w:r>
                      <w:fldChar w:fldCharType="end"/>
                    </w:r>
                    <w:r>
                      <w:t xml:space="preserve"> van </w:t>
                    </w:r>
                    <w:r>
                      <w:fldChar w:fldCharType="begin"/>
                    </w:r>
                    <w:r>
                      <w:instrText>NUMPAGES</w:instrText>
                    </w:r>
                    <w:r>
                      <w:fldChar w:fldCharType="separate"/>
                    </w:r>
                    <w:r w:rsidR="00F14ECF">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01F0B8D4" wp14:editId="0AEF578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D784072" w14:textId="77777777" w:rsidR="00D61099" w:rsidRDefault="00D61099"/>
                      </w:txbxContent>
                    </wps:txbx>
                    <wps:bodyPr vert="horz" wrap="square" lIns="0" tIns="0" rIns="0" bIns="0" anchor="t" anchorCtr="0"/>
                  </wps:wsp>
                </a:graphicData>
              </a:graphic>
            </wp:anchor>
          </w:drawing>
        </mc:Choice>
        <mc:Fallback>
          <w:pict>
            <v:shape w14:anchorId="01F0B8D4"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D784072" w14:textId="77777777" w:rsidR="00D61099" w:rsidRDefault="00D6109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1AFDF74B" wp14:editId="1C04BE86">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CF8D1E1" w14:textId="77777777" w:rsidR="00D61099" w:rsidRDefault="00D61099"/>
                      </w:txbxContent>
                    </wps:txbx>
                    <wps:bodyPr vert="horz" wrap="square" lIns="0" tIns="0" rIns="0" bIns="0" anchor="t" anchorCtr="0"/>
                  </wps:wsp>
                </a:graphicData>
              </a:graphic>
            </wp:anchor>
          </w:drawing>
        </mc:Choice>
        <mc:Fallback>
          <w:pict>
            <v:shape w14:anchorId="1AFDF74B"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CF8D1E1" w14:textId="77777777" w:rsidR="00D61099" w:rsidRDefault="00D6109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D056D" w14:textId="77777777" w:rsidR="00F87933" w:rsidRDefault="00566A97">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7D0DCD71" wp14:editId="158F576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279A541" w14:textId="77777777" w:rsidR="00D61099" w:rsidRDefault="00D61099"/>
                      </w:txbxContent>
                    </wps:txbx>
                    <wps:bodyPr vert="horz" wrap="square" lIns="0" tIns="0" rIns="0" bIns="0" anchor="t" anchorCtr="0"/>
                  </wps:wsp>
                </a:graphicData>
              </a:graphic>
            </wp:anchor>
          </w:drawing>
        </mc:Choice>
        <mc:Fallback>
          <w:pict>
            <v:shapetype w14:anchorId="7D0DCD7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279A541" w14:textId="77777777" w:rsidR="00D61099" w:rsidRDefault="00D6109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371A046F" wp14:editId="7C28D84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4B2429C" w14:textId="31387332" w:rsidR="00F87933" w:rsidRDefault="00566A97">
                          <w:pPr>
                            <w:pStyle w:val="Referentiegegevens"/>
                          </w:pPr>
                          <w:r>
                            <w:t xml:space="preserve">Pagina </w:t>
                          </w:r>
                          <w:r>
                            <w:fldChar w:fldCharType="begin"/>
                          </w:r>
                          <w:r>
                            <w:instrText>PAGE</w:instrText>
                          </w:r>
                          <w:r>
                            <w:fldChar w:fldCharType="separate"/>
                          </w:r>
                          <w:r w:rsidR="00F14ECF">
                            <w:rPr>
                              <w:noProof/>
                            </w:rPr>
                            <w:t>1</w:t>
                          </w:r>
                          <w:r>
                            <w:fldChar w:fldCharType="end"/>
                          </w:r>
                          <w:r>
                            <w:t xml:space="preserve"> van </w:t>
                          </w:r>
                          <w:r>
                            <w:fldChar w:fldCharType="begin"/>
                          </w:r>
                          <w:r>
                            <w:instrText>NUMPAGES</w:instrText>
                          </w:r>
                          <w:r>
                            <w:fldChar w:fldCharType="separate"/>
                          </w:r>
                          <w:r w:rsidR="00F14ECF">
                            <w:rPr>
                              <w:noProof/>
                            </w:rPr>
                            <w:t>1</w:t>
                          </w:r>
                          <w:r>
                            <w:fldChar w:fldCharType="end"/>
                          </w:r>
                        </w:p>
                      </w:txbxContent>
                    </wps:txbx>
                    <wps:bodyPr vert="horz" wrap="square" lIns="0" tIns="0" rIns="0" bIns="0" anchor="t" anchorCtr="0"/>
                  </wps:wsp>
                </a:graphicData>
              </a:graphic>
            </wp:anchor>
          </w:drawing>
        </mc:Choice>
        <mc:Fallback>
          <w:pict>
            <v:shape w14:anchorId="371A046F"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4B2429C" w14:textId="31387332" w:rsidR="00F87933" w:rsidRDefault="00566A97">
                    <w:pPr>
                      <w:pStyle w:val="Referentiegegevens"/>
                    </w:pPr>
                    <w:r>
                      <w:t xml:space="preserve">Pagina </w:t>
                    </w:r>
                    <w:r>
                      <w:fldChar w:fldCharType="begin"/>
                    </w:r>
                    <w:r>
                      <w:instrText>PAGE</w:instrText>
                    </w:r>
                    <w:r>
                      <w:fldChar w:fldCharType="separate"/>
                    </w:r>
                    <w:r w:rsidR="00F14ECF">
                      <w:rPr>
                        <w:noProof/>
                      </w:rPr>
                      <w:t>1</w:t>
                    </w:r>
                    <w:r>
                      <w:fldChar w:fldCharType="end"/>
                    </w:r>
                    <w:r>
                      <w:t xml:space="preserve"> van </w:t>
                    </w:r>
                    <w:r>
                      <w:fldChar w:fldCharType="begin"/>
                    </w:r>
                    <w:r>
                      <w:instrText>NUMPAGES</w:instrText>
                    </w:r>
                    <w:r>
                      <w:fldChar w:fldCharType="separate"/>
                    </w:r>
                    <w:r w:rsidR="00F14EC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45FD562F" wp14:editId="22E02CC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1D748C7" w14:textId="77777777" w:rsidR="00F87933" w:rsidRDefault="00566A97">
                          <w:pPr>
                            <w:pStyle w:val="AfzendgegevensKop0"/>
                          </w:pPr>
                          <w:r>
                            <w:t>Ministerie van Infrastructuur en Waterstaat</w:t>
                          </w:r>
                        </w:p>
                        <w:p w14:paraId="2B0FD27C" w14:textId="77777777" w:rsidR="00F87933" w:rsidRDefault="00F87933">
                          <w:pPr>
                            <w:pStyle w:val="WitregelW1"/>
                          </w:pPr>
                        </w:p>
                        <w:p w14:paraId="190AB0DF" w14:textId="77777777" w:rsidR="00F87933" w:rsidRDefault="00566A97">
                          <w:pPr>
                            <w:pStyle w:val="Afzendgegevens"/>
                          </w:pPr>
                          <w:r>
                            <w:t>Rijnstraat 8</w:t>
                          </w:r>
                        </w:p>
                        <w:p w14:paraId="4A301BF9" w14:textId="77777777" w:rsidR="00F87933" w:rsidRPr="003D331C" w:rsidRDefault="00566A97">
                          <w:pPr>
                            <w:pStyle w:val="Afzendgegevens"/>
                            <w:rPr>
                              <w:lang w:val="da-DK"/>
                            </w:rPr>
                          </w:pPr>
                          <w:r w:rsidRPr="003D331C">
                            <w:rPr>
                              <w:lang w:val="da-DK"/>
                            </w:rPr>
                            <w:t>2515 XP  Den Haag</w:t>
                          </w:r>
                        </w:p>
                        <w:p w14:paraId="32AE0BCE" w14:textId="77777777" w:rsidR="00F87933" w:rsidRPr="003D331C" w:rsidRDefault="00566A97">
                          <w:pPr>
                            <w:pStyle w:val="Afzendgegevens"/>
                            <w:rPr>
                              <w:lang w:val="da-DK"/>
                            </w:rPr>
                          </w:pPr>
                          <w:r w:rsidRPr="003D331C">
                            <w:rPr>
                              <w:lang w:val="da-DK"/>
                            </w:rPr>
                            <w:t>Postbus 20901</w:t>
                          </w:r>
                        </w:p>
                        <w:p w14:paraId="5A07AA56" w14:textId="77777777" w:rsidR="00F87933" w:rsidRPr="003D331C" w:rsidRDefault="00566A97">
                          <w:pPr>
                            <w:pStyle w:val="Afzendgegevens"/>
                            <w:rPr>
                              <w:lang w:val="da-DK"/>
                            </w:rPr>
                          </w:pPr>
                          <w:r w:rsidRPr="003D331C">
                            <w:rPr>
                              <w:lang w:val="da-DK"/>
                            </w:rPr>
                            <w:t>2500 EX Den Haag</w:t>
                          </w:r>
                        </w:p>
                        <w:p w14:paraId="731E9089" w14:textId="77777777" w:rsidR="00F87933" w:rsidRPr="003D331C" w:rsidRDefault="00F87933">
                          <w:pPr>
                            <w:pStyle w:val="WitregelW1"/>
                            <w:rPr>
                              <w:lang w:val="da-DK"/>
                            </w:rPr>
                          </w:pPr>
                        </w:p>
                        <w:p w14:paraId="769BDC2A" w14:textId="77777777" w:rsidR="00F87933" w:rsidRPr="00D67E09" w:rsidRDefault="00566A97">
                          <w:pPr>
                            <w:pStyle w:val="Afzendgegevens"/>
                            <w:rPr>
                              <w:lang w:val="de-DE"/>
                            </w:rPr>
                          </w:pPr>
                          <w:r w:rsidRPr="00D67E09">
                            <w:rPr>
                              <w:lang w:val="de-DE"/>
                            </w:rPr>
                            <w:t>T   070-456 0000</w:t>
                          </w:r>
                        </w:p>
                        <w:p w14:paraId="545A35F6" w14:textId="77777777" w:rsidR="00F87933" w:rsidRPr="00943692" w:rsidRDefault="00566A97">
                          <w:pPr>
                            <w:pStyle w:val="Afzendgegevens"/>
                          </w:pPr>
                          <w:r w:rsidRPr="00943692">
                            <w:t>F   070-456 1111</w:t>
                          </w:r>
                        </w:p>
                        <w:p w14:paraId="15C4980C" w14:textId="77777777" w:rsidR="00444416" w:rsidRPr="00943692" w:rsidRDefault="00444416" w:rsidP="00444416"/>
                        <w:p w14:paraId="3CCF7C88" w14:textId="68FECFC7" w:rsidR="00444416" w:rsidRPr="00943692" w:rsidRDefault="00444416" w:rsidP="00444416">
                          <w:pPr>
                            <w:spacing w:line="276" w:lineRule="auto"/>
                            <w:rPr>
                              <w:b/>
                              <w:bCs/>
                              <w:sz w:val="13"/>
                              <w:szCs w:val="13"/>
                            </w:rPr>
                          </w:pPr>
                          <w:r w:rsidRPr="00943692">
                            <w:rPr>
                              <w:b/>
                              <w:bCs/>
                              <w:sz w:val="13"/>
                              <w:szCs w:val="13"/>
                            </w:rPr>
                            <w:t>Kenmerk</w:t>
                          </w:r>
                        </w:p>
                        <w:p w14:paraId="51E94B66" w14:textId="52B73F07" w:rsidR="00444416" w:rsidRPr="00943692" w:rsidRDefault="0098533F" w:rsidP="00444416">
                          <w:pPr>
                            <w:spacing w:line="276" w:lineRule="auto"/>
                            <w:rPr>
                              <w:sz w:val="13"/>
                              <w:szCs w:val="13"/>
                            </w:rPr>
                          </w:pPr>
                          <w:r w:rsidRPr="0098533F">
                            <w:rPr>
                              <w:sz w:val="13"/>
                              <w:szCs w:val="13"/>
                            </w:rPr>
                            <w:t>IENW/BSK-2025/259820</w:t>
                          </w:r>
                        </w:p>
                        <w:p w14:paraId="005C83F0" w14:textId="77777777" w:rsidR="00CC6303" w:rsidRPr="00943692" w:rsidRDefault="00CC6303" w:rsidP="00444416">
                          <w:pPr>
                            <w:spacing w:line="276" w:lineRule="auto"/>
                            <w:rPr>
                              <w:sz w:val="13"/>
                              <w:szCs w:val="13"/>
                            </w:rPr>
                          </w:pPr>
                        </w:p>
                        <w:p w14:paraId="08C2D8EA" w14:textId="3F6949DA" w:rsidR="00CC6303" w:rsidRDefault="00CC6303" w:rsidP="00444416">
                          <w:pPr>
                            <w:spacing w:line="276" w:lineRule="auto"/>
                            <w:rPr>
                              <w:b/>
                              <w:bCs/>
                              <w:sz w:val="13"/>
                              <w:szCs w:val="13"/>
                            </w:rPr>
                          </w:pPr>
                          <w:r w:rsidRPr="00CC6303">
                            <w:rPr>
                              <w:b/>
                              <w:bCs/>
                              <w:sz w:val="13"/>
                              <w:szCs w:val="13"/>
                            </w:rPr>
                            <w:t>Bijlage(n)</w:t>
                          </w:r>
                        </w:p>
                        <w:p w14:paraId="410A70AD" w14:textId="4891733D" w:rsidR="0098533F" w:rsidRPr="0098533F" w:rsidRDefault="0098533F" w:rsidP="00444416">
                          <w:pPr>
                            <w:spacing w:line="276" w:lineRule="auto"/>
                            <w:rPr>
                              <w:sz w:val="13"/>
                              <w:szCs w:val="13"/>
                            </w:rPr>
                          </w:pPr>
                          <w:r w:rsidRPr="0098533F">
                            <w:rPr>
                              <w:sz w:val="13"/>
                              <w:szCs w:val="13"/>
                            </w:rPr>
                            <w:t>3</w:t>
                          </w:r>
                        </w:p>
                      </w:txbxContent>
                    </wps:txbx>
                    <wps:bodyPr vert="horz" wrap="square" lIns="0" tIns="0" rIns="0" bIns="0" anchor="t" anchorCtr="0"/>
                  </wps:wsp>
                </a:graphicData>
              </a:graphic>
            </wp:anchor>
          </w:drawing>
        </mc:Choice>
        <mc:Fallback>
          <w:pict>
            <v:shape w14:anchorId="45FD562F"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1D748C7" w14:textId="77777777" w:rsidR="00F87933" w:rsidRDefault="00566A97">
                    <w:pPr>
                      <w:pStyle w:val="AfzendgegevensKop0"/>
                    </w:pPr>
                    <w:r>
                      <w:t>Ministerie van Infrastructuur en Waterstaat</w:t>
                    </w:r>
                  </w:p>
                  <w:p w14:paraId="2B0FD27C" w14:textId="77777777" w:rsidR="00F87933" w:rsidRDefault="00F87933">
                    <w:pPr>
                      <w:pStyle w:val="WitregelW1"/>
                    </w:pPr>
                  </w:p>
                  <w:p w14:paraId="190AB0DF" w14:textId="77777777" w:rsidR="00F87933" w:rsidRDefault="00566A97">
                    <w:pPr>
                      <w:pStyle w:val="Afzendgegevens"/>
                    </w:pPr>
                    <w:r>
                      <w:t>Rijnstraat 8</w:t>
                    </w:r>
                  </w:p>
                  <w:p w14:paraId="4A301BF9" w14:textId="77777777" w:rsidR="00F87933" w:rsidRPr="003D331C" w:rsidRDefault="00566A97">
                    <w:pPr>
                      <w:pStyle w:val="Afzendgegevens"/>
                      <w:rPr>
                        <w:lang w:val="da-DK"/>
                      </w:rPr>
                    </w:pPr>
                    <w:r w:rsidRPr="003D331C">
                      <w:rPr>
                        <w:lang w:val="da-DK"/>
                      </w:rPr>
                      <w:t>2515 XP  Den Haag</w:t>
                    </w:r>
                  </w:p>
                  <w:p w14:paraId="32AE0BCE" w14:textId="77777777" w:rsidR="00F87933" w:rsidRPr="003D331C" w:rsidRDefault="00566A97">
                    <w:pPr>
                      <w:pStyle w:val="Afzendgegevens"/>
                      <w:rPr>
                        <w:lang w:val="da-DK"/>
                      </w:rPr>
                    </w:pPr>
                    <w:r w:rsidRPr="003D331C">
                      <w:rPr>
                        <w:lang w:val="da-DK"/>
                      </w:rPr>
                      <w:t>Postbus 20901</w:t>
                    </w:r>
                  </w:p>
                  <w:p w14:paraId="5A07AA56" w14:textId="77777777" w:rsidR="00F87933" w:rsidRPr="003D331C" w:rsidRDefault="00566A97">
                    <w:pPr>
                      <w:pStyle w:val="Afzendgegevens"/>
                      <w:rPr>
                        <w:lang w:val="da-DK"/>
                      </w:rPr>
                    </w:pPr>
                    <w:r w:rsidRPr="003D331C">
                      <w:rPr>
                        <w:lang w:val="da-DK"/>
                      </w:rPr>
                      <w:t>2500 EX Den Haag</w:t>
                    </w:r>
                  </w:p>
                  <w:p w14:paraId="731E9089" w14:textId="77777777" w:rsidR="00F87933" w:rsidRPr="003D331C" w:rsidRDefault="00F87933">
                    <w:pPr>
                      <w:pStyle w:val="WitregelW1"/>
                      <w:rPr>
                        <w:lang w:val="da-DK"/>
                      </w:rPr>
                    </w:pPr>
                  </w:p>
                  <w:p w14:paraId="769BDC2A" w14:textId="77777777" w:rsidR="00F87933" w:rsidRPr="00D67E09" w:rsidRDefault="00566A97">
                    <w:pPr>
                      <w:pStyle w:val="Afzendgegevens"/>
                      <w:rPr>
                        <w:lang w:val="de-DE"/>
                      </w:rPr>
                    </w:pPr>
                    <w:r w:rsidRPr="00D67E09">
                      <w:rPr>
                        <w:lang w:val="de-DE"/>
                      </w:rPr>
                      <w:t>T   070-456 0000</w:t>
                    </w:r>
                  </w:p>
                  <w:p w14:paraId="545A35F6" w14:textId="77777777" w:rsidR="00F87933" w:rsidRPr="00943692" w:rsidRDefault="00566A97">
                    <w:pPr>
                      <w:pStyle w:val="Afzendgegevens"/>
                    </w:pPr>
                    <w:r w:rsidRPr="00943692">
                      <w:t>F   070-456 1111</w:t>
                    </w:r>
                  </w:p>
                  <w:p w14:paraId="15C4980C" w14:textId="77777777" w:rsidR="00444416" w:rsidRPr="00943692" w:rsidRDefault="00444416" w:rsidP="00444416"/>
                  <w:p w14:paraId="3CCF7C88" w14:textId="68FECFC7" w:rsidR="00444416" w:rsidRPr="00943692" w:rsidRDefault="00444416" w:rsidP="00444416">
                    <w:pPr>
                      <w:spacing w:line="276" w:lineRule="auto"/>
                      <w:rPr>
                        <w:b/>
                        <w:bCs/>
                        <w:sz w:val="13"/>
                        <w:szCs w:val="13"/>
                      </w:rPr>
                    </w:pPr>
                    <w:r w:rsidRPr="00943692">
                      <w:rPr>
                        <w:b/>
                        <w:bCs/>
                        <w:sz w:val="13"/>
                        <w:szCs w:val="13"/>
                      </w:rPr>
                      <w:t>Kenmerk</w:t>
                    </w:r>
                  </w:p>
                  <w:p w14:paraId="51E94B66" w14:textId="52B73F07" w:rsidR="00444416" w:rsidRPr="00943692" w:rsidRDefault="0098533F" w:rsidP="00444416">
                    <w:pPr>
                      <w:spacing w:line="276" w:lineRule="auto"/>
                      <w:rPr>
                        <w:sz w:val="13"/>
                        <w:szCs w:val="13"/>
                      </w:rPr>
                    </w:pPr>
                    <w:r w:rsidRPr="0098533F">
                      <w:rPr>
                        <w:sz w:val="13"/>
                        <w:szCs w:val="13"/>
                      </w:rPr>
                      <w:t>IENW/BSK-2025/259820</w:t>
                    </w:r>
                  </w:p>
                  <w:p w14:paraId="005C83F0" w14:textId="77777777" w:rsidR="00CC6303" w:rsidRPr="00943692" w:rsidRDefault="00CC6303" w:rsidP="00444416">
                    <w:pPr>
                      <w:spacing w:line="276" w:lineRule="auto"/>
                      <w:rPr>
                        <w:sz w:val="13"/>
                        <w:szCs w:val="13"/>
                      </w:rPr>
                    </w:pPr>
                  </w:p>
                  <w:p w14:paraId="08C2D8EA" w14:textId="3F6949DA" w:rsidR="00CC6303" w:rsidRDefault="00CC6303" w:rsidP="00444416">
                    <w:pPr>
                      <w:spacing w:line="276" w:lineRule="auto"/>
                      <w:rPr>
                        <w:b/>
                        <w:bCs/>
                        <w:sz w:val="13"/>
                        <w:szCs w:val="13"/>
                      </w:rPr>
                    </w:pPr>
                    <w:r w:rsidRPr="00CC6303">
                      <w:rPr>
                        <w:b/>
                        <w:bCs/>
                        <w:sz w:val="13"/>
                        <w:szCs w:val="13"/>
                      </w:rPr>
                      <w:t>Bijlage(n)</w:t>
                    </w:r>
                  </w:p>
                  <w:p w14:paraId="410A70AD" w14:textId="4891733D" w:rsidR="0098533F" w:rsidRPr="0098533F" w:rsidRDefault="0098533F" w:rsidP="00444416">
                    <w:pPr>
                      <w:spacing w:line="276" w:lineRule="auto"/>
                      <w:rPr>
                        <w:sz w:val="13"/>
                        <w:szCs w:val="13"/>
                      </w:rPr>
                    </w:pPr>
                    <w:r w:rsidRPr="0098533F">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0D23AB9D" wp14:editId="2C7B522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D28D095" w14:textId="77777777" w:rsidR="00F87933" w:rsidRDefault="00566A97">
                          <w:pPr>
                            <w:spacing w:line="240" w:lineRule="auto"/>
                          </w:pPr>
                          <w:r>
                            <w:rPr>
                              <w:noProof/>
                              <w:lang w:val="en-GB" w:eastAsia="en-GB"/>
                            </w:rPr>
                            <w:drawing>
                              <wp:inline distT="0" distB="0" distL="0" distR="0" wp14:anchorId="0E8BCF5F" wp14:editId="249F1FC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23AB9D"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D28D095" w14:textId="77777777" w:rsidR="00F87933" w:rsidRDefault="00566A97">
                    <w:pPr>
                      <w:spacing w:line="240" w:lineRule="auto"/>
                    </w:pPr>
                    <w:r>
                      <w:rPr>
                        <w:noProof/>
                        <w:lang w:val="en-GB" w:eastAsia="en-GB"/>
                      </w:rPr>
                      <w:drawing>
                        <wp:inline distT="0" distB="0" distL="0" distR="0" wp14:anchorId="0E8BCF5F" wp14:editId="249F1FC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120C14F0" wp14:editId="748C027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C78CDC" w14:textId="77777777" w:rsidR="00F87933" w:rsidRDefault="00566A97">
                          <w:pPr>
                            <w:spacing w:line="240" w:lineRule="auto"/>
                          </w:pPr>
                          <w:r>
                            <w:rPr>
                              <w:noProof/>
                              <w:lang w:val="en-GB" w:eastAsia="en-GB"/>
                            </w:rPr>
                            <w:drawing>
                              <wp:inline distT="0" distB="0" distL="0" distR="0" wp14:anchorId="07927B26" wp14:editId="198B053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0C14F0"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2C78CDC" w14:textId="77777777" w:rsidR="00F87933" w:rsidRDefault="00566A97">
                    <w:pPr>
                      <w:spacing w:line="240" w:lineRule="auto"/>
                    </w:pPr>
                    <w:r>
                      <w:rPr>
                        <w:noProof/>
                        <w:lang w:val="en-GB" w:eastAsia="en-GB"/>
                      </w:rPr>
                      <w:drawing>
                        <wp:inline distT="0" distB="0" distL="0" distR="0" wp14:anchorId="07927B26" wp14:editId="198B053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3A469F4A" wp14:editId="4259A5A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8C79297" w14:textId="77777777" w:rsidR="00F87933" w:rsidRDefault="00566A9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A469F4A"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8C79297" w14:textId="77777777" w:rsidR="00F87933" w:rsidRDefault="00566A9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04342A32" wp14:editId="60437AA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2D966E7" w14:textId="77777777" w:rsidR="00F87933" w:rsidRDefault="00566A9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4342A32"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2D966E7" w14:textId="77777777" w:rsidR="00F87933" w:rsidRDefault="00566A9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17C66019" wp14:editId="30614E5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87933" w14:paraId="36E4F7AC" w14:textId="77777777">
                            <w:trPr>
                              <w:trHeight w:val="200"/>
                            </w:trPr>
                            <w:tc>
                              <w:tcPr>
                                <w:tcW w:w="1140" w:type="dxa"/>
                              </w:tcPr>
                              <w:p w14:paraId="68B612D6" w14:textId="77777777" w:rsidR="00F87933" w:rsidRDefault="00F87933"/>
                            </w:tc>
                            <w:tc>
                              <w:tcPr>
                                <w:tcW w:w="5400" w:type="dxa"/>
                              </w:tcPr>
                              <w:p w14:paraId="2BFD7E59" w14:textId="77777777" w:rsidR="00F87933" w:rsidRDefault="00F87933"/>
                            </w:tc>
                          </w:tr>
                          <w:tr w:rsidR="00F87933" w14:paraId="0132AE85" w14:textId="77777777">
                            <w:trPr>
                              <w:trHeight w:val="240"/>
                            </w:trPr>
                            <w:tc>
                              <w:tcPr>
                                <w:tcW w:w="1140" w:type="dxa"/>
                              </w:tcPr>
                              <w:p w14:paraId="08FE4513" w14:textId="77777777" w:rsidR="00F87933" w:rsidRDefault="00566A97">
                                <w:r>
                                  <w:t>Datum</w:t>
                                </w:r>
                              </w:p>
                            </w:tc>
                            <w:tc>
                              <w:tcPr>
                                <w:tcW w:w="5400" w:type="dxa"/>
                              </w:tcPr>
                              <w:p w14:paraId="1DAC973D" w14:textId="3EC86D64" w:rsidR="00F87933" w:rsidRDefault="00E17E73">
                                <w:r>
                                  <w:t>13 oktober 2025</w:t>
                                </w:r>
                              </w:p>
                            </w:tc>
                          </w:tr>
                          <w:tr w:rsidR="00F87933" w14:paraId="22ADE123" w14:textId="77777777">
                            <w:trPr>
                              <w:trHeight w:val="240"/>
                            </w:trPr>
                            <w:tc>
                              <w:tcPr>
                                <w:tcW w:w="1140" w:type="dxa"/>
                              </w:tcPr>
                              <w:p w14:paraId="105DD001" w14:textId="77777777" w:rsidR="00F87933" w:rsidRDefault="00566A97">
                                <w:r>
                                  <w:t>Betreft</w:t>
                                </w:r>
                              </w:p>
                            </w:tc>
                            <w:tc>
                              <w:tcPr>
                                <w:tcW w:w="5400" w:type="dxa"/>
                              </w:tcPr>
                              <w:p w14:paraId="7A0165DE" w14:textId="0991ECF9" w:rsidR="00F87933" w:rsidRDefault="00566A97">
                                <w:r>
                                  <w:t xml:space="preserve">Actualisatie Nationaal Programma Circulaire Economie </w:t>
                                </w:r>
                                <w:r w:rsidR="00CF0917">
                                  <w:t xml:space="preserve">(NPCE </w:t>
                                </w:r>
                                <w:r>
                                  <w:t>2025</w:t>
                                </w:r>
                                <w:r w:rsidR="00CF0917">
                                  <w:t xml:space="preserve">) </w:t>
                                </w:r>
                                <w:r w:rsidR="00382260">
                                  <w:t>-</w:t>
                                </w:r>
                                <w:r>
                                  <w:t>incl. kabinetsreactie op ICER</w:t>
                                </w:r>
                              </w:p>
                            </w:tc>
                          </w:tr>
                          <w:tr w:rsidR="00F87933" w14:paraId="1BD057A2" w14:textId="77777777">
                            <w:trPr>
                              <w:trHeight w:val="200"/>
                            </w:trPr>
                            <w:tc>
                              <w:tcPr>
                                <w:tcW w:w="1140" w:type="dxa"/>
                              </w:tcPr>
                              <w:p w14:paraId="03A2B1BE" w14:textId="77777777" w:rsidR="00F87933" w:rsidRDefault="00F87933"/>
                            </w:tc>
                            <w:tc>
                              <w:tcPr>
                                <w:tcW w:w="5400" w:type="dxa"/>
                              </w:tcPr>
                              <w:p w14:paraId="13897814" w14:textId="77777777" w:rsidR="00F87933" w:rsidRDefault="00F87933"/>
                            </w:tc>
                          </w:tr>
                        </w:tbl>
                        <w:p w14:paraId="22BE9674" w14:textId="77777777" w:rsidR="00D61099" w:rsidRDefault="00D61099"/>
                      </w:txbxContent>
                    </wps:txbx>
                    <wps:bodyPr vert="horz" wrap="square" lIns="0" tIns="0" rIns="0" bIns="0" anchor="t" anchorCtr="0"/>
                  </wps:wsp>
                </a:graphicData>
              </a:graphic>
            </wp:anchor>
          </w:drawing>
        </mc:Choice>
        <mc:Fallback>
          <w:pict>
            <v:shape w14:anchorId="17C66019"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87933" w14:paraId="36E4F7AC" w14:textId="77777777">
                      <w:trPr>
                        <w:trHeight w:val="200"/>
                      </w:trPr>
                      <w:tc>
                        <w:tcPr>
                          <w:tcW w:w="1140" w:type="dxa"/>
                        </w:tcPr>
                        <w:p w14:paraId="68B612D6" w14:textId="77777777" w:rsidR="00F87933" w:rsidRDefault="00F87933"/>
                      </w:tc>
                      <w:tc>
                        <w:tcPr>
                          <w:tcW w:w="5400" w:type="dxa"/>
                        </w:tcPr>
                        <w:p w14:paraId="2BFD7E59" w14:textId="77777777" w:rsidR="00F87933" w:rsidRDefault="00F87933"/>
                      </w:tc>
                    </w:tr>
                    <w:tr w:rsidR="00F87933" w14:paraId="0132AE85" w14:textId="77777777">
                      <w:trPr>
                        <w:trHeight w:val="240"/>
                      </w:trPr>
                      <w:tc>
                        <w:tcPr>
                          <w:tcW w:w="1140" w:type="dxa"/>
                        </w:tcPr>
                        <w:p w14:paraId="08FE4513" w14:textId="77777777" w:rsidR="00F87933" w:rsidRDefault="00566A97">
                          <w:r>
                            <w:t>Datum</w:t>
                          </w:r>
                        </w:p>
                      </w:tc>
                      <w:tc>
                        <w:tcPr>
                          <w:tcW w:w="5400" w:type="dxa"/>
                        </w:tcPr>
                        <w:p w14:paraId="1DAC973D" w14:textId="3EC86D64" w:rsidR="00F87933" w:rsidRDefault="00E17E73">
                          <w:r>
                            <w:t>13 oktober 2025</w:t>
                          </w:r>
                        </w:p>
                      </w:tc>
                    </w:tr>
                    <w:tr w:rsidR="00F87933" w14:paraId="22ADE123" w14:textId="77777777">
                      <w:trPr>
                        <w:trHeight w:val="240"/>
                      </w:trPr>
                      <w:tc>
                        <w:tcPr>
                          <w:tcW w:w="1140" w:type="dxa"/>
                        </w:tcPr>
                        <w:p w14:paraId="105DD001" w14:textId="77777777" w:rsidR="00F87933" w:rsidRDefault="00566A97">
                          <w:r>
                            <w:t>Betreft</w:t>
                          </w:r>
                        </w:p>
                      </w:tc>
                      <w:tc>
                        <w:tcPr>
                          <w:tcW w:w="5400" w:type="dxa"/>
                        </w:tcPr>
                        <w:p w14:paraId="7A0165DE" w14:textId="0991ECF9" w:rsidR="00F87933" w:rsidRDefault="00566A97">
                          <w:r>
                            <w:t xml:space="preserve">Actualisatie Nationaal Programma Circulaire Economie </w:t>
                          </w:r>
                          <w:r w:rsidR="00CF0917">
                            <w:t xml:space="preserve">(NPCE </w:t>
                          </w:r>
                          <w:r>
                            <w:t>2025</w:t>
                          </w:r>
                          <w:r w:rsidR="00CF0917">
                            <w:t xml:space="preserve">) </w:t>
                          </w:r>
                          <w:r w:rsidR="00382260">
                            <w:t>-</w:t>
                          </w:r>
                          <w:r>
                            <w:t>incl. kabinetsreactie op ICER</w:t>
                          </w:r>
                        </w:p>
                      </w:tc>
                    </w:tr>
                    <w:tr w:rsidR="00F87933" w14:paraId="1BD057A2" w14:textId="77777777">
                      <w:trPr>
                        <w:trHeight w:val="200"/>
                      </w:trPr>
                      <w:tc>
                        <w:tcPr>
                          <w:tcW w:w="1140" w:type="dxa"/>
                        </w:tcPr>
                        <w:p w14:paraId="03A2B1BE" w14:textId="77777777" w:rsidR="00F87933" w:rsidRDefault="00F87933"/>
                      </w:tc>
                      <w:tc>
                        <w:tcPr>
                          <w:tcW w:w="5400" w:type="dxa"/>
                        </w:tcPr>
                        <w:p w14:paraId="13897814" w14:textId="77777777" w:rsidR="00F87933" w:rsidRDefault="00F87933"/>
                      </w:tc>
                    </w:tr>
                  </w:tbl>
                  <w:p w14:paraId="22BE9674" w14:textId="77777777" w:rsidR="00D61099" w:rsidRDefault="00D6109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200810DE" wp14:editId="707BC84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5830430" w14:textId="77777777" w:rsidR="00D61099" w:rsidRDefault="00D61099"/>
                      </w:txbxContent>
                    </wps:txbx>
                    <wps:bodyPr vert="horz" wrap="square" lIns="0" tIns="0" rIns="0" bIns="0" anchor="t" anchorCtr="0"/>
                  </wps:wsp>
                </a:graphicData>
              </a:graphic>
            </wp:anchor>
          </w:drawing>
        </mc:Choice>
        <mc:Fallback>
          <w:pict>
            <v:shape w14:anchorId="200810DE"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5830430" w14:textId="77777777" w:rsidR="00D61099" w:rsidRDefault="00D6109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D5D76A"/>
    <w:multiLevelType w:val="multilevel"/>
    <w:tmpl w:val="54E4A9A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782E75"/>
    <w:multiLevelType w:val="multilevel"/>
    <w:tmpl w:val="88B9320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5B5FBB"/>
    <w:multiLevelType w:val="multilevel"/>
    <w:tmpl w:val="057AF2A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D5F837"/>
    <w:multiLevelType w:val="multilevel"/>
    <w:tmpl w:val="F37A302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28A30B4"/>
    <w:multiLevelType w:val="multilevel"/>
    <w:tmpl w:val="30E9CCE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046741"/>
    <w:multiLevelType w:val="multilevel"/>
    <w:tmpl w:val="841A585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2D40962"/>
    <w:multiLevelType w:val="multilevel"/>
    <w:tmpl w:val="41C6010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E8DF462F"/>
    <w:multiLevelType w:val="multilevel"/>
    <w:tmpl w:val="18CD9D4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056347E"/>
    <w:multiLevelType w:val="multilevel"/>
    <w:tmpl w:val="DC3A420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D1AE30D"/>
    <w:multiLevelType w:val="multilevel"/>
    <w:tmpl w:val="A27940B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DF62E0"/>
    <w:multiLevelType w:val="hybridMultilevel"/>
    <w:tmpl w:val="09D82788"/>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BA73248"/>
    <w:multiLevelType w:val="hybridMultilevel"/>
    <w:tmpl w:val="63CAA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F59AE3"/>
    <w:multiLevelType w:val="multilevel"/>
    <w:tmpl w:val="72F1AEE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C4EBB1"/>
    <w:multiLevelType w:val="multilevel"/>
    <w:tmpl w:val="0AACE6F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D71972"/>
    <w:multiLevelType w:val="multilevel"/>
    <w:tmpl w:val="59CC2FE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B74911"/>
    <w:multiLevelType w:val="multilevel"/>
    <w:tmpl w:val="17119A8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056816"/>
    <w:multiLevelType w:val="hybridMultilevel"/>
    <w:tmpl w:val="66A2E1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27C209D"/>
    <w:multiLevelType w:val="hybridMultilevel"/>
    <w:tmpl w:val="A01AB6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8412F76"/>
    <w:multiLevelType w:val="multilevel"/>
    <w:tmpl w:val="9C60F88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9B09A0"/>
    <w:multiLevelType w:val="hybridMultilevel"/>
    <w:tmpl w:val="FC68CC18"/>
    <w:lvl w:ilvl="0" w:tplc="BFB2867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D0C5C1C"/>
    <w:multiLevelType w:val="hybridMultilevel"/>
    <w:tmpl w:val="BA60AE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1857829"/>
    <w:multiLevelType w:val="hybridMultilevel"/>
    <w:tmpl w:val="7084E1F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20D478F"/>
    <w:multiLevelType w:val="multilevel"/>
    <w:tmpl w:val="356C3D0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0D59C5"/>
    <w:multiLevelType w:val="hybridMultilevel"/>
    <w:tmpl w:val="4EE4DF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22639D4"/>
    <w:multiLevelType w:val="multilevel"/>
    <w:tmpl w:val="993AF85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F361F3"/>
    <w:multiLevelType w:val="hybridMultilevel"/>
    <w:tmpl w:val="6BB0D16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3AED4B70"/>
    <w:multiLevelType w:val="hybridMultilevel"/>
    <w:tmpl w:val="91FC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D9A0174"/>
    <w:multiLevelType w:val="hybridMultilevel"/>
    <w:tmpl w:val="0854FF64"/>
    <w:lvl w:ilvl="0" w:tplc="9524EE6A">
      <w:start w:val="1"/>
      <w:numFmt w:val="decimal"/>
      <w:lvlText w:val="%1)"/>
      <w:lvlJc w:val="left"/>
      <w:pPr>
        <w:ind w:left="720" w:hanging="360"/>
      </w:pPr>
      <w:rPr>
        <w:rFonts w:eastAsia="DejaVu San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FA26298"/>
    <w:multiLevelType w:val="hybridMultilevel"/>
    <w:tmpl w:val="A49A2E7A"/>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DA79899"/>
    <w:multiLevelType w:val="multilevel"/>
    <w:tmpl w:val="FF2291E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E56881"/>
    <w:multiLevelType w:val="hybridMultilevel"/>
    <w:tmpl w:val="C0121A20"/>
    <w:lvl w:ilvl="0" w:tplc="4C26A25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598CAD"/>
    <w:multiLevelType w:val="multilevel"/>
    <w:tmpl w:val="2D7A0A5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B10DD0"/>
    <w:multiLevelType w:val="hybridMultilevel"/>
    <w:tmpl w:val="2334D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C5D1345"/>
    <w:multiLevelType w:val="multilevel"/>
    <w:tmpl w:val="E988E9B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9E190B"/>
    <w:multiLevelType w:val="multilevel"/>
    <w:tmpl w:val="FE24F7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5" w15:restartNumberingAfterBreak="0">
    <w:nsid w:val="5EC4582A"/>
    <w:multiLevelType w:val="hybridMultilevel"/>
    <w:tmpl w:val="F806A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F075761"/>
    <w:multiLevelType w:val="hybridMultilevel"/>
    <w:tmpl w:val="9A7CEEA8"/>
    <w:lvl w:ilvl="0" w:tplc="0413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41401C"/>
    <w:multiLevelType w:val="multilevel"/>
    <w:tmpl w:val="9FE14AD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313887"/>
    <w:multiLevelType w:val="hybridMultilevel"/>
    <w:tmpl w:val="8368CD1C"/>
    <w:lvl w:ilvl="0" w:tplc="DDA6D0E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9" w15:restartNumberingAfterBreak="0">
    <w:nsid w:val="70205584"/>
    <w:multiLevelType w:val="hybridMultilevel"/>
    <w:tmpl w:val="C86C8658"/>
    <w:lvl w:ilvl="0" w:tplc="6556EE42">
      <w:start w:val="1"/>
      <w:numFmt w:val="bullet"/>
      <w:lvlText w:val=""/>
      <w:lvlJc w:val="left"/>
      <w:pPr>
        <w:ind w:left="1440" w:hanging="360"/>
      </w:pPr>
      <w:rPr>
        <w:rFonts w:ascii="Symbol" w:hAnsi="Symbol"/>
      </w:rPr>
    </w:lvl>
    <w:lvl w:ilvl="1" w:tplc="1674C18C">
      <w:start w:val="1"/>
      <w:numFmt w:val="bullet"/>
      <w:lvlText w:val=""/>
      <w:lvlJc w:val="left"/>
      <w:pPr>
        <w:ind w:left="1440" w:hanging="360"/>
      </w:pPr>
      <w:rPr>
        <w:rFonts w:ascii="Symbol" w:hAnsi="Symbol"/>
      </w:rPr>
    </w:lvl>
    <w:lvl w:ilvl="2" w:tplc="9C2CACD2">
      <w:start w:val="1"/>
      <w:numFmt w:val="bullet"/>
      <w:lvlText w:val=""/>
      <w:lvlJc w:val="left"/>
      <w:pPr>
        <w:ind w:left="1440" w:hanging="360"/>
      </w:pPr>
      <w:rPr>
        <w:rFonts w:ascii="Symbol" w:hAnsi="Symbol"/>
      </w:rPr>
    </w:lvl>
    <w:lvl w:ilvl="3" w:tplc="832EEB7C">
      <w:start w:val="1"/>
      <w:numFmt w:val="bullet"/>
      <w:lvlText w:val=""/>
      <w:lvlJc w:val="left"/>
      <w:pPr>
        <w:ind w:left="1440" w:hanging="360"/>
      </w:pPr>
      <w:rPr>
        <w:rFonts w:ascii="Symbol" w:hAnsi="Symbol"/>
      </w:rPr>
    </w:lvl>
    <w:lvl w:ilvl="4" w:tplc="B0AE75D8">
      <w:start w:val="1"/>
      <w:numFmt w:val="bullet"/>
      <w:lvlText w:val=""/>
      <w:lvlJc w:val="left"/>
      <w:pPr>
        <w:ind w:left="1440" w:hanging="360"/>
      </w:pPr>
      <w:rPr>
        <w:rFonts w:ascii="Symbol" w:hAnsi="Symbol"/>
      </w:rPr>
    </w:lvl>
    <w:lvl w:ilvl="5" w:tplc="4E240A62">
      <w:start w:val="1"/>
      <w:numFmt w:val="bullet"/>
      <w:lvlText w:val=""/>
      <w:lvlJc w:val="left"/>
      <w:pPr>
        <w:ind w:left="1440" w:hanging="360"/>
      </w:pPr>
      <w:rPr>
        <w:rFonts w:ascii="Symbol" w:hAnsi="Symbol"/>
      </w:rPr>
    </w:lvl>
    <w:lvl w:ilvl="6" w:tplc="C060A7C4">
      <w:start w:val="1"/>
      <w:numFmt w:val="bullet"/>
      <w:lvlText w:val=""/>
      <w:lvlJc w:val="left"/>
      <w:pPr>
        <w:ind w:left="1440" w:hanging="360"/>
      </w:pPr>
      <w:rPr>
        <w:rFonts w:ascii="Symbol" w:hAnsi="Symbol"/>
      </w:rPr>
    </w:lvl>
    <w:lvl w:ilvl="7" w:tplc="81285DAC">
      <w:start w:val="1"/>
      <w:numFmt w:val="bullet"/>
      <w:lvlText w:val=""/>
      <w:lvlJc w:val="left"/>
      <w:pPr>
        <w:ind w:left="1440" w:hanging="360"/>
      </w:pPr>
      <w:rPr>
        <w:rFonts w:ascii="Symbol" w:hAnsi="Symbol"/>
      </w:rPr>
    </w:lvl>
    <w:lvl w:ilvl="8" w:tplc="EF042E0E">
      <w:start w:val="1"/>
      <w:numFmt w:val="bullet"/>
      <w:lvlText w:val=""/>
      <w:lvlJc w:val="left"/>
      <w:pPr>
        <w:ind w:left="1440" w:hanging="360"/>
      </w:pPr>
      <w:rPr>
        <w:rFonts w:ascii="Symbol" w:hAnsi="Symbol"/>
      </w:rPr>
    </w:lvl>
  </w:abstractNum>
  <w:abstractNum w:abstractNumId="40" w15:restartNumberingAfterBreak="0">
    <w:nsid w:val="71964AFE"/>
    <w:multiLevelType w:val="hybridMultilevel"/>
    <w:tmpl w:val="945E67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C23FF4"/>
    <w:multiLevelType w:val="hybridMultilevel"/>
    <w:tmpl w:val="5DE0B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EF7DAFE"/>
    <w:multiLevelType w:val="multilevel"/>
    <w:tmpl w:val="3B59513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7"/>
  </w:num>
  <w:num w:numId="4">
    <w:abstractNumId w:val="2"/>
  </w:num>
  <w:num w:numId="5">
    <w:abstractNumId w:val="34"/>
  </w:num>
  <w:num w:numId="6">
    <w:abstractNumId w:val="13"/>
  </w:num>
  <w:num w:numId="7">
    <w:abstractNumId w:val="22"/>
  </w:num>
  <w:num w:numId="8">
    <w:abstractNumId w:val="42"/>
  </w:num>
  <w:num w:numId="9">
    <w:abstractNumId w:val="12"/>
  </w:num>
  <w:num w:numId="10">
    <w:abstractNumId w:val="33"/>
  </w:num>
  <w:num w:numId="11">
    <w:abstractNumId w:val="5"/>
  </w:num>
  <w:num w:numId="12">
    <w:abstractNumId w:val="6"/>
  </w:num>
  <w:num w:numId="13">
    <w:abstractNumId w:val="31"/>
  </w:num>
  <w:num w:numId="14">
    <w:abstractNumId w:val="24"/>
  </w:num>
  <w:num w:numId="15">
    <w:abstractNumId w:val="18"/>
  </w:num>
  <w:num w:numId="16">
    <w:abstractNumId w:val="4"/>
  </w:num>
  <w:num w:numId="17">
    <w:abstractNumId w:val="14"/>
  </w:num>
  <w:num w:numId="18">
    <w:abstractNumId w:val="37"/>
  </w:num>
  <w:num w:numId="19">
    <w:abstractNumId w:val="15"/>
  </w:num>
  <w:num w:numId="20">
    <w:abstractNumId w:val="29"/>
  </w:num>
  <w:num w:numId="21">
    <w:abstractNumId w:val="8"/>
  </w:num>
  <w:num w:numId="22">
    <w:abstractNumId w:val="0"/>
  </w:num>
  <w:num w:numId="23">
    <w:abstractNumId w:val="1"/>
  </w:num>
  <w:num w:numId="24">
    <w:abstractNumId w:val="41"/>
  </w:num>
  <w:num w:numId="25">
    <w:abstractNumId w:val="30"/>
  </w:num>
  <w:num w:numId="26">
    <w:abstractNumId w:val="11"/>
  </w:num>
  <w:num w:numId="27">
    <w:abstractNumId w:val="19"/>
  </w:num>
  <w:num w:numId="28">
    <w:abstractNumId w:val="20"/>
  </w:num>
  <w:num w:numId="29">
    <w:abstractNumId w:val="16"/>
  </w:num>
  <w:num w:numId="30">
    <w:abstractNumId w:val="26"/>
  </w:num>
  <w:num w:numId="31">
    <w:abstractNumId w:val="17"/>
  </w:num>
  <w:num w:numId="32">
    <w:abstractNumId w:val="25"/>
  </w:num>
  <w:num w:numId="33">
    <w:abstractNumId w:val="35"/>
  </w:num>
  <w:num w:numId="34">
    <w:abstractNumId w:val="23"/>
  </w:num>
  <w:num w:numId="35">
    <w:abstractNumId w:val="27"/>
  </w:num>
  <w:num w:numId="36">
    <w:abstractNumId w:val="36"/>
  </w:num>
  <w:num w:numId="37">
    <w:abstractNumId w:val="32"/>
  </w:num>
  <w:num w:numId="38">
    <w:abstractNumId w:val="28"/>
  </w:num>
  <w:num w:numId="39">
    <w:abstractNumId w:val="21"/>
  </w:num>
  <w:num w:numId="40">
    <w:abstractNumId w:val="38"/>
  </w:num>
  <w:num w:numId="41">
    <w:abstractNumId w:val="39"/>
  </w:num>
  <w:num w:numId="42">
    <w:abstractNumId w:val="10"/>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09"/>
    <w:rsid w:val="00005593"/>
    <w:rsid w:val="0001599C"/>
    <w:rsid w:val="00017694"/>
    <w:rsid w:val="00022DBA"/>
    <w:rsid w:val="000276A0"/>
    <w:rsid w:val="000351A7"/>
    <w:rsid w:val="00044380"/>
    <w:rsid w:val="00044F52"/>
    <w:rsid w:val="00050274"/>
    <w:rsid w:val="00050D9A"/>
    <w:rsid w:val="000555C7"/>
    <w:rsid w:val="00063DA7"/>
    <w:rsid w:val="00064EEC"/>
    <w:rsid w:val="00066636"/>
    <w:rsid w:val="0007191D"/>
    <w:rsid w:val="00071B06"/>
    <w:rsid w:val="000953FB"/>
    <w:rsid w:val="000A6481"/>
    <w:rsid w:val="000A79EF"/>
    <w:rsid w:val="000B525E"/>
    <w:rsid w:val="000C1CB1"/>
    <w:rsid w:val="000D5524"/>
    <w:rsid w:val="000D7F3D"/>
    <w:rsid w:val="000F0434"/>
    <w:rsid w:val="00105923"/>
    <w:rsid w:val="00117352"/>
    <w:rsid w:val="00120FC0"/>
    <w:rsid w:val="00125478"/>
    <w:rsid w:val="00127DFE"/>
    <w:rsid w:val="00131D21"/>
    <w:rsid w:val="001408A8"/>
    <w:rsid w:val="00147578"/>
    <w:rsid w:val="00155C7B"/>
    <w:rsid w:val="00174E9D"/>
    <w:rsid w:val="00182CD8"/>
    <w:rsid w:val="00182EC7"/>
    <w:rsid w:val="00193D45"/>
    <w:rsid w:val="00196159"/>
    <w:rsid w:val="001A56DD"/>
    <w:rsid w:val="001B7C2B"/>
    <w:rsid w:val="001C4689"/>
    <w:rsid w:val="001C57C2"/>
    <w:rsid w:val="001D10FF"/>
    <w:rsid w:val="001D3692"/>
    <w:rsid w:val="001F2447"/>
    <w:rsid w:val="001F7E9F"/>
    <w:rsid w:val="00203100"/>
    <w:rsid w:val="00204A07"/>
    <w:rsid w:val="002077A5"/>
    <w:rsid w:val="002123DC"/>
    <w:rsid w:val="00222BDE"/>
    <w:rsid w:val="00224F59"/>
    <w:rsid w:val="00233B9E"/>
    <w:rsid w:val="0024262D"/>
    <w:rsid w:val="00247766"/>
    <w:rsid w:val="00261EEB"/>
    <w:rsid w:val="002703D0"/>
    <w:rsid w:val="002812EE"/>
    <w:rsid w:val="002939D4"/>
    <w:rsid w:val="00294262"/>
    <w:rsid w:val="002A6397"/>
    <w:rsid w:val="002B023E"/>
    <w:rsid w:val="002C2175"/>
    <w:rsid w:val="002C6720"/>
    <w:rsid w:val="002D4B64"/>
    <w:rsid w:val="002D559E"/>
    <w:rsid w:val="002D7405"/>
    <w:rsid w:val="002E0699"/>
    <w:rsid w:val="002F1A7B"/>
    <w:rsid w:val="002F216F"/>
    <w:rsid w:val="002F21AA"/>
    <w:rsid w:val="002F23B2"/>
    <w:rsid w:val="002F516C"/>
    <w:rsid w:val="0030218F"/>
    <w:rsid w:val="00313D1E"/>
    <w:rsid w:val="0032509D"/>
    <w:rsid w:val="003307CD"/>
    <w:rsid w:val="003346B3"/>
    <w:rsid w:val="00335203"/>
    <w:rsid w:val="00335A15"/>
    <w:rsid w:val="0034034E"/>
    <w:rsid w:val="00341E74"/>
    <w:rsid w:val="00345A67"/>
    <w:rsid w:val="00346CFE"/>
    <w:rsid w:val="00350D07"/>
    <w:rsid w:val="003518A9"/>
    <w:rsid w:val="00356622"/>
    <w:rsid w:val="0036267B"/>
    <w:rsid w:val="00363BEF"/>
    <w:rsid w:val="00365A94"/>
    <w:rsid w:val="00367155"/>
    <w:rsid w:val="003757E3"/>
    <w:rsid w:val="003764AB"/>
    <w:rsid w:val="00380FA5"/>
    <w:rsid w:val="003811E6"/>
    <w:rsid w:val="00382260"/>
    <w:rsid w:val="00391398"/>
    <w:rsid w:val="003C0183"/>
    <w:rsid w:val="003D331C"/>
    <w:rsid w:val="003D4237"/>
    <w:rsid w:val="003D439C"/>
    <w:rsid w:val="003D6C27"/>
    <w:rsid w:val="003D6CFF"/>
    <w:rsid w:val="003D7E04"/>
    <w:rsid w:val="003F40AE"/>
    <w:rsid w:val="003F41DD"/>
    <w:rsid w:val="003F7CB9"/>
    <w:rsid w:val="00400B1D"/>
    <w:rsid w:val="00407874"/>
    <w:rsid w:val="00407B33"/>
    <w:rsid w:val="00415DA5"/>
    <w:rsid w:val="004168D5"/>
    <w:rsid w:val="00422AB4"/>
    <w:rsid w:val="00424C3B"/>
    <w:rsid w:val="004310AB"/>
    <w:rsid w:val="00431ADB"/>
    <w:rsid w:val="0043350B"/>
    <w:rsid w:val="00437A0D"/>
    <w:rsid w:val="004405DF"/>
    <w:rsid w:val="004417AA"/>
    <w:rsid w:val="00444416"/>
    <w:rsid w:val="00455FD0"/>
    <w:rsid w:val="00457B4B"/>
    <w:rsid w:val="00465FD6"/>
    <w:rsid w:val="0048492B"/>
    <w:rsid w:val="0048634B"/>
    <w:rsid w:val="004A7AC7"/>
    <w:rsid w:val="004B2A1A"/>
    <w:rsid w:val="004B3485"/>
    <w:rsid w:val="004B571C"/>
    <w:rsid w:val="004C535A"/>
    <w:rsid w:val="004C7B30"/>
    <w:rsid w:val="004D19FB"/>
    <w:rsid w:val="004D224F"/>
    <w:rsid w:val="004D61DF"/>
    <w:rsid w:val="004F3CED"/>
    <w:rsid w:val="004F7881"/>
    <w:rsid w:val="00501B30"/>
    <w:rsid w:val="00506E44"/>
    <w:rsid w:val="0050711E"/>
    <w:rsid w:val="00511A6C"/>
    <w:rsid w:val="00515588"/>
    <w:rsid w:val="00515D0C"/>
    <w:rsid w:val="0051692E"/>
    <w:rsid w:val="0052181F"/>
    <w:rsid w:val="005238DE"/>
    <w:rsid w:val="00525196"/>
    <w:rsid w:val="00525803"/>
    <w:rsid w:val="00533F12"/>
    <w:rsid w:val="00551021"/>
    <w:rsid w:val="00551674"/>
    <w:rsid w:val="005537DA"/>
    <w:rsid w:val="00555D22"/>
    <w:rsid w:val="00557C3D"/>
    <w:rsid w:val="005621A4"/>
    <w:rsid w:val="00566A97"/>
    <w:rsid w:val="005670B5"/>
    <w:rsid w:val="0056768E"/>
    <w:rsid w:val="00573E57"/>
    <w:rsid w:val="00595CEE"/>
    <w:rsid w:val="0059750C"/>
    <w:rsid w:val="005A1F78"/>
    <w:rsid w:val="005A5072"/>
    <w:rsid w:val="005B603D"/>
    <w:rsid w:val="005D0DAA"/>
    <w:rsid w:val="005D1DC6"/>
    <w:rsid w:val="005D5D93"/>
    <w:rsid w:val="005F444A"/>
    <w:rsid w:val="005F469D"/>
    <w:rsid w:val="005F5DAC"/>
    <w:rsid w:val="00600752"/>
    <w:rsid w:val="00600B0F"/>
    <w:rsid w:val="00600E53"/>
    <w:rsid w:val="0060539D"/>
    <w:rsid w:val="00614C2D"/>
    <w:rsid w:val="00614FFB"/>
    <w:rsid w:val="00615A7E"/>
    <w:rsid w:val="00643729"/>
    <w:rsid w:val="00650745"/>
    <w:rsid w:val="00650BE0"/>
    <w:rsid w:val="006678E9"/>
    <w:rsid w:val="0067124C"/>
    <w:rsid w:val="00671937"/>
    <w:rsid w:val="00672057"/>
    <w:rsid w:val="0067397B"/>
    <w:rsid w:val="00695083"/>
    <w:rsid w:val="00697DDD"/>
    <w:rsid w:val="006A06AA"/>
    <w:rsid w:val="006A0FF2"/>
    <w:rsid w:val="006B0F68"/>
    <w:rsid w:val="006B2539"/>
    <w:rsid w:val="006B5472"/>
    <w:rsid w:val="006C2EB6"/>
    <w:rsid w:val="006C6DE5"/>
    <w:rsid w:val="006C795C"/>
    <w:rsid w:val="006D661C"/>
    <w:rsid w:val="006E066B"/>
    <w:rsid w:val="006F104E"/>
    <w:rsid w:val="006F2606"/>
    <w:rsid w:val="006F5AB7"/>
    <w:rsid w:val="0070253B"/>
    <w:rsid w:val="007039E1"/>
    <w:rsid w:val="00704A64"/>
    <w:rsid w:val="0071653C"/>
    <w:rsid w:val="00716E0D"/>
    <w:rsid w:val="00742D27"/>
    <w:rsid w:val="0074332F"/>
    <w:rsid w:val="00746A68"/>
    <w:rsid w:val="00756AC0"/>
    <w:rsid w:val="00756C99"/>
    <w:rsid w:val="00775FFD"/>
    <w:rsid w:val="00782452"/>
    <w:rsid w:val="00784B5F"/>
    <w:rsid w:val="0078798A"/>
    <w:rsid w:val="00791FE0"/>
    <w:rsid w:val="007A5D73"/>
    <w:rsid w:val="007A674C"/>
    <w:rsid w:val="007A743A"/>
    <w:rsid w:val="007A75BA"/>
    <w:rsid w:val="007B2AB6"/>
    <w:rsid w:val="007B542E"/>
    <w:rsid w:val="007D4AF4"/>
    <w:rsid w:val="007E141A"/>
    <w:rsid w:val="007E17BF"/>
    <w:rsid w:val="007E54D5"/>
    <w:rsid w:val="00803700"/>
    <w:rsid w:val="00804CFD"/>
    <w:rsid w:val="008107EE"/>
    <w:rsid w:val="00814C4B"/>
    <w:rsid w:val="00817752"/>
    <w:rsid w:val="00817A5E"/>
    <w:rsid w:val="0082465C"/>
    <w:rsid w:val="008259B9"/>
    <w:rsid w:val="00827CD4"/>
    <w:rsid w:val="008305C9"/>
    <w:rsid w:val="008333BF"/>
    <w:rsid w:val="00836043"/>
    <w:rsid w:val="00837FF2"/>
    <w:rsid w:val="00842EC3"/>
    <w:rsid w:val="00855580"/>
    <w:rsid w:val="00872D1C"/>
    <w:rsid w:val="00873234"/>
    <w:rsid w:val="00874437"/>
    <w:rsid w:val="00876041"/>
    <w:rsid w:val="0088047F"/>
    <w:rsid w:val="00881AA5"/>
    <w:rsid w:val="008920B2"/>
    <w:rsid w:val="00895574"/>
    <w:rsid w:val="008964E2"/>
    <w:rsid w:val="008A21AD"/>
    <w:rsid w:val="008A2E9F"/>
    <w:rsid w:val="008A3CC5"/>
    <w:rsid w:val="008B52E6"/>
    <w:rsid w:val="008B5D2C"/>
    <w:rsid w:val="008C137C"/>
    <w:rsid w:val="008C176D"/>
    <w:rsid w:val="008C2DF4"/>
    <w:rsid w:val="008C3ABD"/>
    <w:rsid w:val="008C5866"/>
    <w:rsid w:val="008E26B1"/>
    <w:rsid w:val="008E6165"/>
    <w:rsid w:val="008E77AB"/>
    <w:rsid w:val="008F3C87"/>
    <w:rsid w:val="00900F64"/>
    <w:rsid w:val="009039CD"/>
    <w:rsid w:val="0090451E"/>
    <w:rsid w:val="009048D1"/>
    <w:rsid w:val="00904DFD"/>
    <w:rsid w:val="00915CCE"/>
    <w:rsid w:val="0091736F"/>
    <w:rsid w:val="00921654"/>
    <w:rsid w:val="009241BC"/>
    <w:rsid w:val="00935C8B"/>
    <w:rsid w:val="00936C9D"/>
    <w:rsid w:val="0094017D"/>
    <w:rsid w:val="00943692"/>
    <w:rsid w:val="0095459F"/>
    <w:rsid w:val="00957A0A"/>
    <w:rsid w:val="0096248F"/>
    <w:rsid w:val="00972792"/>
    <w:rsid w:val="00976466"/>
    <w:rsid w:val="0097662E"/>
    <w:rsid w:val="0098533F"/>
    <w:rsid w:val="009868A2"/>
    <w:rsid w:val="0099795A"/>
    <w:rsid w:val="009A5E5C"/>
    <w:rsid w:val="009B405E"/>
    <w:rsid w:val="009D767A"/>
    <w:rsid w:val="009F0263"/>
    <w:rsid w:val="009F12A0"/>
    <w:rsid w:val="009F40EB"/>
    <w:rsid w:val="009F76EE"/>
    <w:rsid w:val="00A000FA"/>
    <w:rsid w:val="00A1189F"/>
    <w:rsid w:val="00A13815"/>
    <w:rsid w:val="00A155D5"/>
    <w:rsid w:val="00A15C9C"/>
    <w:rsid w:val="00A16603"/>
    <w:rsid w:val="00A1761F"/>
    <w:rsid w:val="00A176A4"/>
    <w:rsid w:val="00A23F15"/>
    <w:rsid w:val="00A27D40"/>
    <w:rsid w:val="00A4166A"/>
    <w:rsid w:val="00A42001"/>
    <w:rsid w:val="00A52968"/>
    <w:rsid w:val="00A60CAD"/>
    <w:rsid w:val="00A718C9"/>
    <w:rsid w:val="00A75688"/>
    <w:rsid w:val="00A803EB"/>
    <w:rsid w:val="00A966A5"/>
    <w:rsid w:val="00AA1BFD"/>
    <w:rsid w:val="00AA51BE"/>
    <w:rsid w:val="00AB201C"/>
    <w:rsid w:val="00AB50F1"/>
    <w:rsid w:val="00AC5595"/>
    <w:rsid w:val="00AE2D4D"/>
    <w:rsid w:val="00AE4D0E"/>
    <w:rsid w:val="00AF321D"/>
    <w:rsid w:val="00AF5284"/>
    <w:rsid w:val="00B00FA9"/>
    <w:rsid w:val="00B01DDF"/>
    <w:rsid w:val="00B02122"/>
    <w:rsid w:val="00B048E0"/>
    <w:rsid w:val="00B04F5F"/>
    <w:rsid w:val="00B06C6F"/>
    <w:rsid w:val="00B11C24"/>
    <w:rsid w:val="00B15002"/>
    <w:rsid w:val="00B21BA3"/>
    <w:rsid w:val="00B22CFC"/>
    <w:rsid w:val="00B23E33"/>
    <w:rsid w:val="00B26027"/>
    <w:rsid w:val="00B34621"/>
    <w:rsid w:val="00B4032D"/>
    <w:rsid w:val="00B4109D"/>
    <w:rsid w:val="00B421E0"/>
    <w:rsid w:val="00B43D24"/>
    <w:rsid w:val="00B46B5B"/>
    <w:rsid w:val="00B54130"/>
    <w:rsid w:val="00B5710D"/>
    <w:rsid w:val="00B631B4"/>
    <w:rsid w:val="00B64DFF"/>
    <w:rsid w:val="00B74B3B"/>
    <w:rsid w:val="00B75D26"/>
    <w:rsid w:val="00B87808"/>
    <w:rsid w:val="00B970F6"/>
    <w:rsid w:val="00BA29E8"/>
    <w:rsid w:val="00BA4E89"/>
    <w:rsid w:val="00BA6603"/>
    <w:rsid w:val="00BB2514"/>
    <w:rsid w:val="00BB4BC8"/>
    <w:rsid w:val="00BC22B6"/>
    <w:rsid w:val="00BC651F"/>
    <w:rsid w:val="00BE158D"/>
    <w:rsid w:val="00C034C8"/>
    <w:rsid w:val="00C03B07"/>
    <w:rsid w:val="00C04826"/>
    <w:rsid w:val="00C0729B"/>
    <w:rsid w:val="00C33B23"/>
    <w:rsid w:val="00C342E5"/>
    <w:rsid w:val="00C5730A"/>
    <w:rsid w:val="00C622F2"/>
    <w:rsid w:val="00C62C63"/>
    <w:rsid w:val="00C710B7"/>
    <w:rsid w:val="00C71885"/>
    <w:rsid w:val="00C7688E"/>
    <w:rsid w:val="00C866EA"/>
    <w:rsid w:val="00C92790"/>
    <w:rsid w:val="00C928A6"/>
    <w:rsid w:val="00C95A35"/>
    <w:rsid w:val="00CA79CE"/>
    <w:rsid w:val="00CB13E0"/>
    <w:rsid w:val="00CB584F"/>
    <w:rsid w:val="00CB58EE"/>
    <w:rsid w:val="00CB5F26"/>
    <w:rsid w:val="00CB7080"/>
    <w:rsid w:val="00CC30ED"/>
    <w:rsid w:val="00CC414E"/>
    <w:rsid w:val="00CC6303"/>
    <w:rsid w:val="00CE2E4C"/>
    <w:rsid w:val="00CF0917"/>
    <w:rsid w:val="00CF1BFE"/>
    <w:rsid w:val="00CF1FE1"/>
    <w:rsid w:val="00CF3803"/>
    <w:rsid w:val="00CF7DC0"/>
    <w:rsid w:val="00D0346E"/>
    <w:rsid w:val="00D039EE"/>
    <w:rsid w:val="00D04218"/>
    <w:rsid w:val="00D17FD6"/>
    <w:rsid w:val="00D22846"/>
    <w:rsid w:val="00D23244"/>
    <w:rsid w:val="00D25638"/>
    <w:rsid w:val="00D366E2"/>
    <w:rsid w:val="00D479FA"/>
    <w:rsid w:val="00D5404A"/>
    <w:rsid w:val="00D61099"/>
    <w:rsid w:val="00D67E09"/>
    <w:rsid w:val="00D70142"/>
    <w:rsid w:val="00D77207"/>
    <w:rsid w:val="00D85B1C"/>
    <w:rsid w:val="00D86181"/>
    <w:rsid w:val="00D9145F"/>
    <w:rsid w:val="00D94368"/>
    <w:rsid w:val="00D95712"/>
    <w:rsid w:val="00D97FB8"/>
    <w:rsid w:val="00DA0897"/>
    <w:rsid w:val="00DA264D"/>
    <w:rsid w:val="00DA2B4B"/>
    <w:rsid w:val="00DA2DFA"/>
    <w:rsid w:val="00DB0262"/>
    <w:rsid w:val="00DD0432"/>
    <w:rsid w:val="00DD4B33"/>
    <w:rsid w:val="00DD579C"/>
    <w:rsid w:val="00DE11AB"/>
    <w:rsid w:val="00DE22E1"/>
    <w:rsid w:val="00DE35C0"/>
    <w:rsid w:val="00DF49EF"/>
    <w:rsid w:val="00DF4B46"/>
    <w:rsid w:val="00DF6A40"/>
    <w:rsid w:val="00DF75BE"/>
    <w:rsid w:val="00E00F87"/>
    <w:rsid w:val="00E0781F"/>
    <w:rsid w:val="00E07852"/>
    <w:rsid w:val="00E12133"/>
    <w:rsid w:val="00E146A6"/>
    <w:rsid w:val="00E14C4C"/>
    <w:rsid w:val="00E17E73"/>
    <w:rsid w:val="00E25C99"/>
    <w:rsid w:val="00E265D0"/>
    <w:rsid w:val="00E27853"/>
    <w:rsid w:val="00E355CF"/>
    <w:rsid w:val="00E403CA"/>
    <w:rsid w:val="00E405A8"/>
    <w:rsid w:val="00E4564D"/>
    <w:rsid w:val="00E509B5"/>
    <w:rsid w:val="00E5106E"/>
    <w:rsid w:val="00E53050"/>
    <w:rsid w:val="00E55877"/>
    <w:rsid w:val="00E60F18"/>
    <w:rsid w:val="00E61613"/>
    <w:rsid w:val="00E6195B"/>
    <w:rsid w:val="00E743C7"/>
    <w:rsid w:val="00E754AE"/>
    <w:rsid w:val="00E8108D"/>
    <w:rsid w:val="00E91D86"/>
    <w:rsid w:val="00E94042"/>
    <w:rsid w:val="00E9529D"/>
    <w:rsid w:val="00E97046"/>
    <w:rsid w:val="00E97256"/>
    <w:rsid w:val="00EA39B6"/>
    <w:rsid w:val="00EB16C9"/>
    <w:rsid w:val="00EB61DB"/>
    <w:rsid w:val="00EC0613"/>
    <w:rsid w:val="00EC12DC"/>
    <w:rsid w:val="00ED088F"/>
    <w:rsid w:val="00EE1D96"/>
    <w:rsid w:val="00EE4904"/>
    <w:rsid w:val="00EE62E5"/>
    <w:rsid w:val="00EF4AD6"/>
    <w:rsid w:val="00F0629B"/>
    <w:rsid w:val="00F101D1"/>
    <w:rsid w:val="00F14ECF"/>
    <w:rsid w:val="00F14FF4"/>
    <w:rsid w:val="00F15F8A"/>
    <w:rsid w:val="00F246BC"/>
    <w:rsid w:val="00F428AA"/>
    <w:rsid w:val="00F429FB"/>
    <w:rsid w:val="00F52C19"/>
    <w:rsid w:val="00F86116"/>
    <w:rsid w:val="00F87933"/>
    <w:rsid w:val="00FA6E31"/>
    <w:rsid w:val="00FB2124"/>
    <w:rsid w:val="00FC0AC6"/>
    <w:rsid w:val="00FC673B"/>
    <w:rsid w:val="00FD4675"/>
    <w:rsid w:val="00FE1365"/>
    <w:rsid w:val="00FE2A0E"/>
    <w:rsid w:val="00FE53B0"/>
    <w:rsid w:val="00FF473D"/>
    <w:rsid w:val="00FF5BDD"/>
    <w:rsid w:val="00FF75FA"/>
    <w:rsid w:val="55066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9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67E09"/>
    <w:pPr>
      <w:tabs>
        <w:tab w:val="center" w:pos="4536"/>
        <w:tab w:val="right" w:pos="9072"/>
      </w:tabs>
      <w:spacing w:line="240" w:lineRule="auto"/>
    </w:pPr>
  </w:style>
  <w:style w:type="character" w:customStyle="1" w:styleId="HeaderChar">
    <w:name w:val="Header Char"/>
    <w:basedOn w:val="DefaultParagraphFont"/>
    <w:link w:val="Header"/>
    <w:uiPriority w:val="99"/>
    <w:rsid w:val="00D67E09"/>
    <w:rPr>
      <w:rFonts w:ascii="Verdana" w:hAnsi="Verdana"/>
      <w:color w:val="000000"/>
      <w:sz w:val="18"/>
      <w:szCs w:val="18"/>
    </w:rPr>
  </w:style>
  <w:style w:type="paragraph" w:styleId="Footer">
    <w:name w:val="footer"/>
    <w:basedOn w:val="Normal"/>
    <w:link w:val="FooterChar"/>
    <w:uiPriority w:val="99"/>
    <w:unhideWhenUsed/>
    <w:rsid w:val="00D67E09"/>
    <w:pPr>
      <w:tabs>
        <w:tab w:val="center" w:pos="4536"/>
        <w:tab w:val="right" w:pos="9072"/>
      </w:tabs>
      <w:spacing w:line="240" w:lineRule="auto"/>
    </w:pPr>
  </w:style>
  <w:style w:type="character" w:customStyle="1" w:styleId="FooterChar">
    <w:name w:val="Footer Char"/>
    <w:basedOn w:val="DefaultParagraphFont"/>
    <w:link w:val="Footer"/>
    <w:uiPriority w:val="99"/>
    <w:rsid w:val="00D67E09"/>
    <w:rPr>
      <w:rFonts w:ascii="Verdana" w:hAnsi="Verdana"/>
      <w:color w:val="000000"/>
      <w:sz w:val="18"/>
      <w:szCs w:val="18"/>
    </w:rPr>
  </w:style>
  <w:style w:type="paragraph" w:styleId="ListParagraph">
    <w:name w:val="List Paragraph"/>
    <w:aliases w:val="besluit,Lijst meerdere niveaus,Dot pt,F5 List Paragraph,List Paragraph1,No Spacing1,List Paragraph Char Char Char,Indicator Text,Numbered Para 1,Bullet 1,Bullet Points,Párrafo de lista,MAIN CONTENT,Recommendation,List Paragraph2"/>
    <w:basedOn w:val="Normal"/>
    <w:link w:val="ListParagraphChar"/>
    <w:uiPriority w:val="34"/>
    <w:qFormat/>
    <w:rsid w:val="00AA51BE"/>
    <w:pPr>
      <w:ind w:left="720"/>
      <w:contextualSpacing/>
    </w:pPr>
  </w:style>
  <w:style w:type="character" w:styleId="CommentReference">
    <w:name w:val="annotation reference"/>
    <w:basedOn w:val="DefaultParagraphFont"/>
    <w:uiPriority w:val="99"/>
    <w:semiHidden/>
    <w:unhideWhenUsed/>
    <w:rsid w:val="00E60F18"/>
    <w:rPr>
      <w:sz w:val="16"/>
      <w:szCs w:val="16"/>
    </w:rPr>
  </w:style>
  <w:style w:type="paragraph" w:styleId="CommentText">
    <w:name w:val="annotation text"/>
    <w:basedOn w:val="Normal"/>
    <w:link w:val="CommentTextChar"/>
    <w:uiPriority w:val="99"/>
    <w:unhideWhenUsed/>
    <w:rsid w:val="00E60F18"/>
    <w:pPr>
      <w:spacing w:line="240" w:lineRule="auto"/>
    </w:pPr>
    <w:rPr>
      <w:sz w:val="20"/>
      <w:szCs w:val="20"/>
    </w:rPr>
  </w:style>
  <w:style w:type="character" w:customStyle="1" w:styleId="CommentTextChar">
    <w:name w:val="Comment Text Char"/>
    <w:basedOn w:val="DefaultParagraphFont"/>
    <w:link w:val="CommentText"/>
    <w:uiPriority w:val="99"/>
    <w:rsid w:val="00E60F1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60F18"/>
    <w:rPr>
      <w:b/>
      <w:bCs/>
    </w:rPr>
  </w:style>
  <w:style w:type="character" w:customStyle="1" w:styleId="CommentSubjectChar">
    <w:name w:val="Comment Subject Char"/>
    <w:basedOn w:val="CommentTextChar"/>
    <w:link w:val="CommentSubject"/>
    <w:uiPriority w:val="99"/>
    <w:semiHidden/>
    <w:rsid w:val="00E60F18"/>
    <w:rPr>
      <w:rFonts w:ascii="Verdana" w:hAnsi="Verdana"/>
      <w:b/>
      <w:bCs/>
      <w:color w:val="000000"/>
    </w:rPr>
  </w:style>
  <w:style w:type="paragraph" w:styleId="FootnoteText">
    <w:name w:val="footnote text"/>
    <w:aliases w:val="Voetnoottekst CE Delft"/>
    <w:basedOn w:val="Normal"/>
    <w:link w:val="FootnoteTextChar"/>
    <w:uiPriority w:val="49"/>
    <w:unhideWhenUsed/>
    <w:rsid w:val="003D4237"/>
    <w:pPr>
      <w:spacing w:line="240" w:lineRule="auto"/>
    </w:pPr>
    <w:rPr>
      <w:sz w:val="20"/>
      <w:szCs w:val="20"/>
    </w:rPr>
  </w:style>
  <w:style w:type="character" w:customStyle="1" w:styleId="FootnoteTextChar">
    <w:name w:val="Footnote Text Char"/>
    <w:aliases w:val="Voetnoottekst CE Delft Char"/>
    <w:basedOn w:val="DefaultParagraphFont"/>
    <w:link w:val="FootnoteText"/>
    <w:uiPriority w:val="49"/>
    <w:rsid w:val="003D4237"/>
    <w:rPr>
      <w:rFonts w:ascii="Verdana" w:hAnsi="Verdana"/>
      <w:color w:val="000000"/>
    </w:rPr>
  </w:style>
  <w:style w:type="character" w:styleId="FootnoteReference">
    <w:name w:val="footnote reference"/>
    <w:aliases w:val="Voetnootmarkering CE Delft"/>
    <w:basedOn w:val="DefaultParagraphFont"/>
    <w:uiPriority w:val="99"/>
    <w:unhideWhenUsed/>
    <w:rsid w:val="003D4237"/>
    <w:rPr>
      <w:vertAlign w:val="superscript"/>
    </w:rPr>
  </w:style>
  <w:style w:type="paragraph" w:styleId="Revision">
    <w:name w:val="Revision"/>
    <w:hidden/>
    <w:uiPriority w:val="99"/>
    <w:semiHidden/>
    <w:rsid w:val="00972792"/>
    <w:pPr>
      <w:autoSpaceDN/>
      <w:textAlignment w:val="auto"/>
    </w:pPr>
    <w:rPr>
      <w:rFonts w:ascii="Verdana" w:hAnsi="Verdana"/>
      <w:color w:val="000000"/>
      <w:sz w:val="18"/>
      <w:szCs w:val="18"/>
    </w:rPr>
  </w:style>
  <w:style w:type="paragraph" w:styleId="NormalWeb">
    <w:name w:val="Normal (Web)"/>
    <w:basedOn w:val="Normal"/>
    <w:uiPriority w:val="99"/>
    <w:unhideWhenUsed/>
    <w:rsid w:val="005B603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Voetnoottekst1">
    <w:name w:val="Voetnoottekst1"/>
    <w:basedOn w:val="Normal"/>
    <w:next w:val="FootnoteText"/>
    <w:uiPriority w:val="99"/>
    <w:semiHidden/>
    <w:unhideWhenUsed/>
    <w:rsid w:val="00AE4D0E"/>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UnresolvedMention">
    <w:name w:val="Unresolved Mention"/>
    <w:basedOn w:val="DefaultParagraphFont"/>
    <w:uiPriority w:val="99"/>
    <w:semiHidden/>
    <w:unhideWhenUsed/>
    <w:rsid w:val="007A5D73"/>
    <w:rPr>
      <w:color w:val="605E5C"/>
      <w:shd w:val="clear" w:color="auto" w:fill="E1DFDD"/>
    </w:rPr>
  </w:style>
  <w:style w:type="character" w:customStyle="1" w:styleId="ListParagraphChar">
    <w:name w:val="List Paragraph Char"/>
    <w:aliases w:val="besluit Char,Lijst meerdere niveaus Char,Dot pt Char,F5 List Paragraph Char,List Paragraph1 Char,No Spacing1 Char,List Paragraph Char Char Char Char,Indicator Text Char,Numbered Para 1 Char,Bullet 1 Char,Bullet Points Char"/>
    <w:basedOn w:val="DefaultParagraphFont"/>
    <w:link w:val="ListParagraph"/>
    <w:uiPriority w:val="34"/>
    <w:qFormat/>
    <w:rsid w:val="00A718C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3964">
      <w:bodyDiv w:val="1"/>
      <w:marLeft w:val="0"/>
      <w:marRight w:val="0"/>
      <w:marTop w:val="0"/>
      <w:marBottom w:val="0"/>
      <w:divBdr>
        <w:top w:val="none" w:sz="0" w:space="0" w:color="auto"/>
        <w:left w:val="none" w:sz="0" w:space="0" w:color="auto"/>
        <w:bottom w:val="none" w:sz="0" w:space="0" w:color="auto"/>
        <w:right w:val="none" w:sz="0" w:space="0" w:color="auto"/>
      </w:divBdr>
    </w:div>
    <w:div w:id="174613666">
      <w:bodyDiv w:val="1"/>
      <w:marLeft w:val="0"/>
      <w:marRight w:val="0"/>
      <w:marTop w:val="0"/>
      <w:marBottom w:val="0"/>
      <w:divBdr>
        <w:top w:val="none" w:sz="0" w:space="0" w:color="auto"/>
        <w:left w:val="none" w:sz="0" w:space="0" w:color="auto"/>
        <w:bottom w:val="none" w:sz="0" w:space="0" w:color="auto"/>
        <w:right w:val="none" w:sz="0" w:space="0" w:color="auto"/>
      </w:divBdr>
    </w:div>
    <w:div w:id="294456831">
      <w:bodyDiv w:val="1"/>
      <w:marLeft w:val="0"/>
      <w:marRight w:val="0"/>
      <w:marTop w:val="0"/>
      <w:marBottom w:val="0"/>
      <w:divBdr>
        <w:top w:val="none" w:sz="0" w:space="0" w:color="auto"/>
        <w:left w:val="none" w:sz="0" w:space="0" w:color="auto"/>
        <w:bottom w:val="none" w:sz="0" w:space="0" w:color="auto"/>
        <w:right w:val="none" w:sz="0" w:space="0" w:color="auto"/>
      </w:divBdr>
    </w:div>
    <w:div w:id="305668494">
      <w:bodyDiv w:val="1"/>
      <w:marLeft w:val="0"/>
      <w:marRight w:val="0"/>
      <w:marTop w:val="0"/>
      <w:marBottom w:val="0"/>
      <w:divBdr>
        <w:top w:val="none" w:sz="0" w:space="0" w:color="auto"/>
        <w:left w:val="none" w:sz="0" w:space="0" w:color="auto"/>
        <w:bottom w:val="none" w:sz="0" w:space="0" w:color="auto"/>
        <w:right w:val="none" w:sz="0" w:space="0" w:color="auto"/>
      </w:divBdr>
    </w:div>
    <w:div w:id="426082123">
      <w:bodyDiv w:val="1"/>
      <w:marLeft w:val="0"/>
      <w:marRight w:val="0"/>
      <w:marTop w:val="0"/>
      <w:marBottom w:val="0"/>
      <w:divBdr>
        <w:top w:val="none" w:sz="0" w:space="0" w:color="auto"/>
        <w:left w:val="none" w:sz="0" w:space="0" w:color="auto"/>
        <w:bottom w:val="none" w:sz="0" w:space="0" w:color="auto"/>
        <w:right w:val="none" w:sz="0" w:space="0" w:color="auto"/>
      </w:divBdr>
    </w:div>
    <w:div w:id="554581613">
      <w:bodyDiv w:val="1"/>
      <w:marLeft w:val="0"/>
      <w:marRight w:val="0"/>
      <w:marTop w:val="0"/>
      <w:marBottom w:val="0"/>
      <w:divBdr>
        <w:top w:val="none" w:sz="0" w:space="0" w:color="auto"/>
        <w:left w:val="none" w:sz="0" w:space="0" w:color="auto"/>
        <w:bottom w:val="none" w:sz="0" w:space="0" w:color="auto"/>
        <w:right w:val="none" w:sz="0" w:space="0" w:color="auto"/>
      </w:divBdr>
    </w:div>
    <w:div w:id="737900641">
      <w:bodyDiv w:val="1"/>
      <w:marLeft w:val="0"/>
      <w:marRight w:val="0"/>
      <w:marTop w:val="0"/>
      <w:marBottom w:val="0"/>
      <w:divBdr>
        <w:top w:val="none" w:sz="0" w:space="0" w:color="auto"/>
        <w:left w:val="none" w:sz="0" w:space="0" w:color="auto"/>
        <w:bottom w:val="none" w:sz="0" w:space="0" w:color="auto"/>
        <w:right w:val="none" w:sz="0" w:space="0" w:color="auto"/>
      </w:divBdr>
    </w:div>
    <w:div w:id="972171731">
      <w:bodyDiv w:val="1"/>
      <w:marLeft w:val="0"/>
      <w:marRight w:val="0"/>
      <w:marTop w:val="0"/>
      <w:marBottom w:val="0"/>
      <w:divBdr>
        <w:top w:val="none" w:sz="0" w:space="0" w:color="auto"/>
        <w:left w:val="none" w:sz="0" w:space="0" w:color="auto"/>
        <w:bottom w:val="none" w:sz="0" w:space="0" w:color="auto"/>
        <w:right w:val="none" w:sz="0" w:space="0" w:color="auto"/>
      </w:divBdr>
    </w:div>
    <w:div w:id="1100682351">
      <w:bodyDiv w:val="1"/>
      <w:marLeft w:val="0"/>
      <w:marRight w:val="0"/>
      <w:marTop w:val="0"/>
      <w:marBottom w:val="0"/>
      <w:divBdr>
        <w:top w:val="none" w:sz="0" w:space="0" w:color="auto"/>
        <w:left w:val="none" w:sz="0" w:space="0" w:color="auto"/>
        <w:bottom w:val="none" w:sz="0" w:space="0" w:color="auto"/>
        <w:right w:val="none" w:sz="0" w:space="0" w:color="auto"/>
      </w:divBdr>
    </w:div>
    <w:div w:id="1179076566">
      <w:bodyDiv w:val="1"/>
      <w:marLeft w:val="0"/>
      <w:marRight w:val="0"/>
      <w:marTop w:val="0"/>
      <w:marBottom w:val="0"/>
      <w:divBdr>
        <w:top w:val="none" w:sz="0" w:space="0" w:color="auto"/>
        <w:left w:val="none" w:sz="0" w:space="0" w:color="auto"/>
        <w:bottom w:val="none" w:sz="0" w:space="0" w:color="auto"/>
        <w:right w:val="none" w:sz="0" w:space="0" w:color="auto"/>
      </w:divBdr>
    </w:div>
    <w:div w:id="1217160882">
      <w:bodyDiv w:val="1"/>
      <w:marLeft w:val="0"/>
      <w:marRight w:val="0"/>
      <w:marTop w:val="0"/>
      <w:marBottom w:val="0"/>
      <w:divBdr>
        <w:top w:val="none" w:sz="0" w:space="0" w:color="auto"/>
        <w:left w:val="none" w:sz="0" w:space="0" w:color="auto"/>
        <w:bottom w:val="none" w:sz="0" w:space="0" w:color="auto"/>
        <w:right w:val="none" w:sz="0" w:space="0" w:color="auto"/>
      </w:divBdr>
    </w:div>
    <w:div w:id="1317996019">
      <w:bodyDiv w:val="1"/>
      <w:marLeft w:val="0"/>
      <w:marRight w:val="0"/>
      <w:marTop w:val="0"/>
      <w:marBottom w:val="0"/>
      <w:divBdr>
        <w:top w:val="none" w:sz="0" w:space="0" w:color="auto"/>
        <w:left w:val="none" w:sz="0" w:space="0" w:color="auto"/>
        <w:bottom w:val="none" w:sz="0" w:space="0" w:color="auto"/>
        <w:right w:val="none" w:sz="0" w:space="0" w:color="auto"/>
      </w:divBdr>
    </w:div>
    <w:div w:id="1408917516">
      <w:bodyDiv w:val="1"/>
      <w:marLeft w:val="0"/>
      <w:marRight w:val="0"/>
      <w:marTop w:val="0"/>
      <w:marBottom w:val="0"/>
      <w:divBdr>
        <w:top w:val="none" w:sz="0" w:space="0" w:color="auto"/>
        <w:left w:val="none" w:sz="0" w:space="0" w:color="auto"/>
        <w:bottom w:val="none" w:sz="0" w:space="0" w:color="auto"/>
        <w:right w:val="none" w:sz="0" w:space="0" w:color="auto"/>
      </w:divBdr>
    </w:div>
    <w:div w:id="1443962103">
      <w:bodyDiv w:val="1"/>
      <w:marLeft w:val="0"/>
      <w:marRight w:val="0"/>
      <w:marTop w:val="0"/>
      <w:marBottom w:val="0"/>
      <w:divBdr>
        <w:top w:val="none" w:sz="0" w:space="0" w:color="auto"/>
        <w:left w:val="none" w:sz="0" w:space="0" w:color="auto"/>
        <w:bottom w:val="none" w:sz="0" w:space="0" w:color="auto"/>
        <w:right w:val="none" w:sz="0" w:space="0" w:color="auto"/>
      </w:divBdr>
    </w:div>
    <w:div w:id="1453093495">
      <w:bodyDiv w:val="1"/>
      <w:marLeft w:val="0"/>
      <w:marRight w:val="0"/>
      <w:marTop w:val="0"/>
      <w:marBottom w:val="0"/>
      <w:divBdr>
        <w:top w:val="none" w:sz="0" w:space="0" w:color="auto"/>
        <w:left w:val="none" w:sz="0" w:space="0" w:color="auto"/>
        <w:bottom w:val="none" w:sz="0" w:space="0" w:color="auto"/>
        <w:right w:val="none" w:sz="0" w:space="0" w:color="auto"/>
      </w:divBdr>
    </w:div>
    <w:div w:id="1516992672">
      <w:bodyDiv w:val="1"/>
      <w:marLeft w:val="0"/>
      <w:marRight w:val="0"/>
      <w:marTop w:val="0"/>
      <w:marBottom w:val="0"/>
      <w:divBdr>
        <w:top w:val="none" w:sz="0" w:space="0" w:color="auto"/>
        <w:left w:val="none" w:sz="0" w:space="0" w:color="auto"/>
        <w:bottom w:val="none" w:sz="0" w:space="0" w:color="auto"/>
        <w:right w:val="none" w:sz="0" w:space="0" w:color="auto"/>
      </w:divBdr>
    </w:div>
    <w:div w:id="1521816565">
      <w:bodyDiv w:val="1"/>
      <w:marLeft w:val="0"/>
      <w:marRight w:val="0"/>
      <w:marTop w:val="0"/>
      <w:marBottom w:val="0"/>
      <w:divBdr>
        <w:top w:val="none" w:sz="0" w:space="0" w:color="auto"/>
        <w:left w:val="none" w:sz="0" w:space="0" w:color="auto"/>
        <w:bottom w:val="none" w:sz="0" w:space="0" w:color="auto"/>
        <w:right w:val="none" w:sz="0" w:space="0" w:color="auto"/>
      </w:divBdr>
    </w:div>
    <w:div w:id="1574507473">
      <w:bodyDiv w:val="1"/>
      <w:marLeft w:val="0"/>
      <w:marRight w:val="0"/>
      <w:marTop w:val="0"/>
      <w:marBottom w:val="0"/>
      <w:divBdr>
        <w:top w:val="none" w:sz="0" w:space="0" w:color="auto"/>
        <w:left w:val="none" w:sz="0" w:space="0" w:color="auto"/>
        <w:bottom w:val="none" w:sz="0" w:space="0" w:color="auto"/>
        <w:right w:val="none" w:sz="0" w:space="0" w:color="auto"/>
      </w:divBdr>
    </w:div>
    <w:div w:id="1622303958">
      <w:bodyDiv w:val="1"/>
      <w:marLeft w:val="0"/>
      <w:marRight w:val="0"/>
      <w:marTop w:val="0"/>
      <w:marBottom w:val="0"/>
      <w:divBdr>
        <w:top w:val="none" w:sz="0" w:space="0" w:color="auto"/>
        <w:left w:val="none" w:sz="0" w:space="0" w:color="auto"/>
        <w:bottom w:val="none" w:sz="0" w:space="0" w:color="auto"/>
        <w:right w:val="none" w:sz="0" w:space="0" w:color="auto"/>
      </w:divBdr>
    </w:div>
    <w:div w:id="1679623330">
      <w:bodyDiv w:val="1"/>
      <w:marLeft w:val="0"/>
      <w:marRight w:val="0"/>
      <w:marTop w:val="0"/>
      <w:marBottom w:val="0"/>
      <w:divBdr>
        <w:top w:val="none" w:sz="0" w:space="0" w:color="auto"/>
        <w:left w:val="none" w:sz="0" w:space="0" w:color="auto"/>
        <w:bottom w:val="none" w:sz="0" w:space="0" w:color="auto"/>
        <w:right w:val="none" w:sz="0" w:space="0" w:color="auto"/>
      </w:divBdr>
    </w:div>
    <w:div w:id="2011907135">
      <w:bodyDiv w:val="1"/>
      <w:marLeft w:val="0"/>
      <w:marRight w:val="0"/>
      <w:marTop w:val="0"/>
      <w:marBottom w:val="0"/>
      <w:divBdr>
        <w:top w:val="none" w:sz="0" w:space="0" w:color="auto"/>
        <w:left w:val="none" w:sz="0" w:space="0" w:color="auto"/>
        <w:bottom w:val="none" w:sz="0" w:space="0" w:color="auto"/>
        <w:right w:val="none" w:sz="0" w:space="0" w:color="auto"/>
      </w:divBdr>
    </w:div>
    <w:div w:id="204702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nederlandcirculairin2050.nl/visualisatie-npce" TargetMode="External" Id="rId13" /><Relationship Type="http://schemas.openxmlformats.org/officeDocument/2006/relationships/header" Target="header3.xml" Id="rId18" /><Relationship Type="http://schemas.openxmlformats.org/officeDocument/2006/relationships/webSetting" Target="webSettings0.xml" Id="rId26"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nederlandcirculairin2050.nl/actueel/magazines/nederland-circulair-in-2025-magazine"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9/26/kamerbrief-circulair-plasti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2119</ap:Words>
  <ap:Characters>12079</ap:Characters>
  <ap:DocSecurity>0</ap:DocSecurity>
  <ap:Lines>100</ap:Lines>
  <ap:Paragraphs>28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Parlement - Actualisatie Nationaal Programma Circulaire Economie 2025-2030 (NPCE) incl. kabinetsreactie op ICER</vt:lpstr>
      <vt:lpstr>Brief aan Parlement - Actualisatie Nationaal Programma Circulaire Economie 2025-2030 (NPCE) incl. kabinetsreactie op ICER</vt:lpstr>
    </vt:vector>
  </ap:TitlesOfParts>
  <ap:LinksUpToDate>false</ap:LinksUpToDate>
  <ap:CharactersWithSpaces>14170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2025-07-14T12:57:00.0000000Z</lastPrinted>
  <dcterms:created xsi:type="dcterms:W3CDTF">2025-10-13T15:50:00.0000000Z</dcterms:created>
  <dcterms:modified xsi:type="dcterms:W3CDTF">2025-10-13T15:50:00.0000000Z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Actualisatie Nationaal Programma Circulaire Economie 2025-2030 (NPCE) incl. kabinetsreactie op ICER</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R.H.F. Oldenhof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0x0101009B6BF780B633CD44ACED14200390C529</vt:lpwstr>
  </property>
</Properties>
</file>