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2281"/>
        <w:tblW w:w="5000" w:type="pct"/>
        <w:tblLayout w:type="fixed"/>
        <w:tblCellMar>
          <w:left w:w="70" w:type="dxa"/>
          <w:right w:w="70" w:type="dxa"/>
        </w:tblCellMar>
        <w:tblLook w:val="04A0" w:firstRow="1" w:lastRow="0" w:firstColumn="1" w:lastColumn="0" w:noHBand="0" w:noVBand="1"/>
      </w:tblPr>
      <w:tblGrid>
        <w:gridCol w:w="2407"/>
        <w:gridCol w:w="2695"/>
        <w:gridCol w:w="3546"/>
        <w:gridCol w:w="994"/>
        <w:gridCol w:w="4316"/>
      </w:tblGrid>
      <w:tr w:rsidRPr="00970EEE" w:rsidR="00C36763" w:rsidTr="00CB36B8" w14:paraId="37DC89B8" w14:textId="4F481DAE">
        <w:trPr>
          <w:trHeight w:val="290"/>
        </w:trPr>
        <w:tc>
          <w:tcPr>
            <w:tcW w:w="862" w:type="pct"/>
            <w:vMerge w:val="restart"/>
            <w:shd w:val="clear" w:color="auto" w:fill="auto"/>
            <w:hideMark/>
          </w:tcPr>
          <w:p w:rsidRPr="00A33860" w:rsidR="00A33860" w:rsidP="007C4846" w:rsidRDefault="00A33860" w14:paraId="65556F80" w14:textId="77777777">
            <w:pPr>
              <w:rPr>
                <w:rFonts w:ascii="Times New Roman" w:hAnsi="Times New Roman" w:cs="Times New Roman"/>
                <w:b/>
                <w:bCs/>
              </w:rPr>
            </w:pPr>
            <w:r w:rsidRPr="00A33860">
              <w:rPr>
                <w:rFonts w:ascii="Times New Roman" w:hAnsi="Times New Roman" w:cs="Times New Roman"/>
                <w:b/>
                <w:bCs/>
              </w:rPr>
              <w:t>Binnenlandse Zaken en Koninkrijksrelaties</w:t>
            </w:r>
          </w:p>
        </w:tc>
        <w:tc>
          <w:tcPr>
            <w:tcW w:w="965" w:type="pct"/>
            <w:shd w:val="clear" w:color="auto" w:fill="auto"/>
            <w:hideMark/>
          </w:tcPr>
          <w:p w:rsidR="00A33860" w:rsidP="007C4846" w:rsidRDefault="00A33860" w14:paraId="71F1EEAC" w14:textId="77777777">
            <w:pPr>
              <w:rPr>
                <w:rFonts w:ascii="Times New Roman" w:hAnsi="Times New Roman" w:cs="Times New Roman"/>
              </w:rPr>
            </w:pPr>
            <w:r w:rsidRPr="00A33860">
              <w:rPr>
                <w:rFonts w:ascii="Times New Roman" w:hAnsi="Times New Roman" w:cs="Times New Roman"/>
              </w:rPr>
              <w:t>Beveiliging van gerubriceerde gegevens</w:t>
            </w:r>
          </w:p>
          <w:p w:rsidRPr="00D46C6F" w:rsidR="00D46C6F" w:rsidP="00D46C6F" w:rsidRDefault="00D46C6F" w14:paraId="5D179708" w14:textId="77777777">
            <w:pPr>
              <w:rPr>
                <w:rFonts w:ascii="Times New Roman" w:hAnsi="Times New Roman" w:cs="Times New Roman"/>
              </w:rPr>
            </w:pPr>
          </w:p>
          <w:p w:rsidR="00D46C6F" w:rsidP="00D46C6F" w:rsidRDefault="00D46C6F" w14:paraId="3156ED30" w14:textId="77777777">
            <w:pPr>
              <w:rPr>
                <w:rFonts w:ascii="Times New Roman" w:hAnsi="Times New Roman" w:cs="Times New Roman"/>
              </w:rPr>
            </w:pPr>
          </w:p>
          <w:p w:rsidR="00D46C6F" w:rsidP="00D46C6F" w:rsidRDefault="00D46C6F" w14:paraId="2623E185" w14:textId="77777777">
            <w:pPr>
              <w:jc w:val="right"/>
              <w:rPr>
                <w:rFonts w:ascii="Times New Roman" w:hAnsi="Times New Roman" w:cs="Times New Roman"/>
              </w:rPr>
            </w:pPr>
          </w:p>
          <w:p w:rsidRPr="00D46C6F" w:rsidR="00D46C6F" w:rsidP="00D46C6F" w:rsidRDefault="00D46C6F" w14:paraId="19A375F1" w14:textId="77777777">
            <w:pPr>
              <w:rPr>
                <w:rFonts w:ascii="Times New Roman" w:hAnsi="Times New Roman" w:cs="Times New Roman"/>
              </w:rPr>
            </w:pPr>
          </w:p>
        </w:tc>
        <w:tc>
          <w:tcPr>
            <w:tcW w:w="1270" w:type="pct"/>
            <w:shd w:val="clear" w:color="auto" w:fill="auto"/>
            <w:hideMark/>
          </w:tcPr>
          <w:p w:rsidR="00A33860" w:rsidP="007C4846" w:rsidRDefault="00A33860" w14:paraId="149BD5B8" w14:textId="77777777">
            <w:pPr>
              <w:rPr>
                <w:rFonts w:ascii="Times New Roman" w:hAnsi="Times New Roman" w:cs="Times New Roman"/>
              </w:rPr>
            </w:pPr>
            <w:r w:rsidRPr="00A33860">
              <w:rPr>
                <w:rFonts w:ascii="Times New Roman" w:hAnsi="Times New Roman" w:cs="Times New Roman"/>
              </w:rPr>
              <w:t>Verenigd Koninkrijk</w:t>
            </w:r>
          </w:p>
          <w:p w:rsidRPr="007C4846" w:rsidR="007C4846" w:rsidP="007C4846" w:rsidRDefault="007C4846" w14:paraId="17441747" w14:textId="77777777">
            <w:pPr>
              <w:rPr>
                <w:rFonts w:ascii="Times New Roman" w:hAnsi="Times New Roman" w:cs="Times New Roman"/>
              </w:rPr>
            </w:pPr>
          </w:p>
          <w:p w:rsidRPr="007C4846" w:rsidR="007C4846" w:rsidP="007C4846" w:rsidRDefault="007C4846" w14:paraId="1BA7D5D8" w14:textId="77777777">
            <w:pPr>
              <w:rPr>
                <w:rFonts w:ascii="Times New Roman" w:hAnsi="Times New Roman" w:cs="Times New Roman"/>
              </w:rPr>
            </w:pPr>
          </w:p>
          <w:p w:rsidR="007C4846" w:rsidP="007C4846" w:rsidRDefault="007C4846" w14:paraId="385F1A15" w14:textId="77777777">
            <w:pPr>
              <w:rPr>
                <w:rFonts w:ascii="Times New Roman" w:hAnsi="Times New Roman" w:cs="Times New Roman"/>
              </w:rPr>
            </w:pPr>
          </w:p>
          <w:p w:rsidR="007C4846" w:rsidP="007C4846" w:rsidRDefault="007C4846" w14:paraId="2DB46521" w14:textId="77777777">
            <w:pPr>
              <w:jc w:val="center"/>
              <w:rPr>
                <w:rFonts w:ascii="Times New Roman" w:hAnsi="Times New Roman" w:cs="Times New Roman"/>
              </w:rPr>
            </w:pPr>
          </w:p>
          <w:p w:rsidRPr="00A33860" w:rsidR="007C4846" w:rsidP="007C4846" w:rsidRDefault="007C4846" w14:paraId="2EF05C5E" w14:textId="77777777">
            <w:pPr>
              <w:rPr>
                <w:rFonts w:ascii="Times New Roman" w:hAnsi="Times New Roman" w:cs="Times New Roman"/>
              </w:rPr>
            </w:pPr>
          </w:p>
        </w:tc>
        <w:tc>
          <w:tcPr>
            <w:tcW w:w="356" w:type="pct"/>
            <w:shd w:val="clear" w:color="auto" w:fill="auto"/>
            <w:hideMark/>
          </w:tcPr>
          <w:p w:rsidRPr="00A33860" w:rsidR="00A33860" w:rsidP="007C4846" w:rsidRDefault="00A33860" w14:paraId="5614565E" w14:textId="77777777">
            <w:pPr>
              <w:rPr>
                <w:rFonts w:ascii="Times New Roman" w:hAnsi="Times New Roman" w:cs="Times New Roman"/>
              </w:rPr>
            </w:pPr>
            <w:r w:rsidRPr="00A33860">
              <w:rPr>
                <w:rFonts w:ascii="Times New Roman" w:hAnsi="Times New Roman" w:cs="Times New Roman"/>
              </w:rPr>
              <w:t>014188</w:t>
            </w:r>
          </w:p>
        </w:tc>
        <w:tc>
          <w:tcPr>
            <w:tcW w:w="1546" w:type="pct"/>
          </w:tcPr>
          <w:p w:rsidRPr="00970EEE" w:rsidR="00A33860" w:rsidP="007C4846" w:rsidRDefault="00970EEE" w14:paraId="1CA77DFF" w14:textId="68276EBF">
            <w:pPr>
              <w:rPr>
                <w:rFonts w:ascii="Times New Roman" w:hAnsi="Times New Roman" w:cs="Times New Roman"/>
              </w:rPr>
            </w:pPr>
            <w:r w:rsidRPr="00970EEE">
              <w:rPr>
                <w:rFonts w:ascii="Times New Roman" w:hAnsi="Times New Roman" w:cs="Times New Roman"/>
              </w:rPr>
              <w:t>Het verdrag heeft ten doel de beveiliging van nationale gerubriceerde gegevens die worden uitgewisseld tussen Nederland en het Verenigd Koninkrijk te waarborgen en regelt dat de informatie die onderling wordt uitgewisseld in beide landen een vergelijkbaar niveau van beveiliging verkrijgt. In het verdrag zijn de veiligheidsprocedures en regelingen voor de beveiliging vastgelegd. De bevoegde beveiligingsautoriteit voor de uitvoering van het verdrag is in Nederland in dit kader ondergebracht bij de AIVD voor het civiele domein en bij het ministerie van Defensie voor het militaire domein.</w:t>
            </w:r>
          </w:p>
        </w:tc>
      </w:tr>
      <w:tr w:rsidRPr="00970EEE" w:rsidR="00C36763" w:rsidTr="00CB36B8" w14:paraId="3933C3C7" w14:textId="24441794">
        <w:trPr>
          <w:trHeight w:val="290"/>
        </w:trPr>
        <w:tc>
          <w:tcPr>
            <w:tcW w:w="862" w:type="pct"/>
            <w:vMerge/>
            <w:vAlign w:val="center"/>
            <w:hideMark/>
          </w:tcPr>
          <w:p w:rsidRPr="00A33860" w:rsidR="00A33860" w:rsidP="00970EEE" w:rsidRDefault="00A33860" w14:paraId="229C3056" w14:textId="77777777">
            <w:pPr>
              <w:spacing w:before="240"/>
              <w:rPr>
                <w:rFonts w:ascii="Times New Roman" w:hAnsi="Times New Roman" w:cs="Times New Roman"/>
                <w:b/>
                <w:bCs/>
              </w:rPr>
            </w:pPr>
          </w:p>
        </w:tc>
        <w:tc>
          <w:tcPr>
            <w:tcW w:w="965" w:type="pct"/>
            <w:shd w:val="clear" w:color="auto" w:fill="auto"/>
            <w:hideMark/>
          </w:tcPr>
          <w:p w:rsidRPr="00A33860" w:rsidR="00A33860" w:rsidP="00970EEE" w:rsidRDefault="00A33860" w14:paraId="5CF71A93" w14:textId="77777777">
            <w:pPr>
              <w:spacing w:before="240"/>
              <w:rPr>
                <w:rFonts w:ascii="Times New Roman" w:hAnsi="Times New Roman" w:cs="Times New Roman"/>
              </w:rPr>
            </w:pPr>
            <w:r w:rsidRPr="00A33860">
              <w:rPr>
                <w:rFonts w:ascii="Times New Roman" w:hAnsi="Times New Roman" w:cs="Times New Roman"/>
              </w:rPr>
              <w:t>Beveiliging van gerubriceerde gegevens</w:t>
            </w:r>
          </w:p>
        </w:tc>
        <w:tc>
          <w:tcPr>
            <w:tcW w:w="1270" w:type="pct"/>
            <w:shd w:val="clear" w:color="auto" w:fill="auto"/>
            <w:hideMark/>
          </w:tcPr>
          <w:p w:rsidRPr="00A33860" w:rsidR="00A33860" w:rsidP="00970EEE" w:rsidRDefault="00A33860" w14:paraId="0EC3503F" w14:textId="77777777">
            <w:pPr>
              <w:spacing w:before="240"/>
              <w:rPr>
                <w:rFonts w:ascii="Times New Roman" w:hAnsi="Times New Roman" w:cs="Times New Roman"/>
              </w:rPr>
            </w:pPr>
            <w:r w:rsidRPr="00A33860">
              <w:rPr>
                <w:rFonts w:ascii="Times New Roman" w:hAnsi="Times New Roman" w:cs="Times New Roman"/>
              </w:rPr>
              <w:t>Zwitserland</w:t>
            </w:r>
          </w:p>
        </w:tc>
        <w:tc>
          <w:tcPr>
            <w:tcW w:w="356" w:type="pct"/>
            <w:shd w:val="clear" w:color="auto" w:fill="auto"/>
            <w:hideMark/>
          </w:tcPr>
          <w:p w:rsidRPr="00A33860" w:rsidR="00A33860" w:rsidP="00970EEE" w:rsidRDefault="00A33860" w14:paraId="75EA485E" w14:textId="77777777">
            <w:pPr>
              <w:spacing w:before="240"/>
              <w:rPr>
                <w:rFonts w:ascii="Times New Roman" w:hAnsi="Times New Roman" w:cs="Times New Roman"/>
              </w:rPr>
            </w:pPr>
            <w:r w:rsidRPr="00A33860">
              <w:rPr>
                <w:rFonts w:ascii="Times New Roman" w:hAnsi="Times New Roman" w:cs="Times New Roman"/>
              </w:rPr>
              <w:t>014189</w:t>
            </w:r>
          </w:p>
        </w:tc>
        <w:tc>
          <w:tcPr>
            <w:tcW w:w="1546" w:type="pct"/>
          </w:tcPr>
          <w:p w:rsidRPr="00970EEE" w:rsidR="00A33860" w:rsidP="00970EEE" w:rsidRDefault="00970EEE" w14:paraId="63493EF0" w14:textId="083A03CC">
            <w:pPr>
              <w:spacing w:before="240"/>
              <w:rPr>
                <w:rFonts w:ascii="Times New Roman" w:hAnsi="Times New Roman" w:cs="Times New Roman"/>
              </w:rPr>
            </w:pPr>
            <w:r w:rsidRPr="00970EEE">
              <w:rPr>
                <w:rFonts w:ascii="Times New Roman" w:hAnsi="Times New Roman" w:cs="Times New Roman"/>
              </w:rPr>
              <w:t xml:space="preserve">Het verdrag heeft ten doel de beveiliging van nationale gerubriceerde gegevens die worden uitgewisseld tussen Nederland en Zwitserland te waarborgen en regelt dat de informatie die onderling wordt uitgewisseld in beide landen een vergelijkbaar niveau van beveiliging verkrijgt. In het verdrag zijn de veiligheidsprocedures en regelingen voor </w:t>
            </w:r>
            <w:r w:rsidRPr="00970EEE">
              <w:rPr>
                <w:rFonts w:ascii="Times New Roman" w:hAnsi="Times New Roman" w:cs="Times New Roman"/>
              </w:rPr>
              <w:lastRenderedPageBreak/>
              <w:t>de beveiliging vastgelegd. De bevoegde beveiligingsautoriteit voor de uitvoering van het verdrag is in Nederland in dit kader ondergebracht bij de AIVD voor het civiele domein en bij het ministerie van Defensie voor het militaire domein.</w:t>
            </w:r>
          </w:p>
        </w:tc>
      </w:tr>
      <w:tr w:rsidRPr="00970EEE" w:rsidR="00C36763" w:rsidTr="00CB36B8" w14:paraId="0DD19717" w14:textId="0BB9B89A">
        <w:trPr>
          <w:trHeight w:val="290"/>
        </w:trPr>
        <w:tc>
          <w:tcPr>
            <w:tcW w:w="862" w:type="pct"/>
            <w:vMerge w:val="restart"/>
            <w:shd w:val="clear" w:color="auto" w:fill="auto"/>
            <w:hideMark/>
          </w:tcPr>
          <w:p w:rsidRPr="00A33860" w:rsidR="00A33860" w:rsidP="00970EEE" w:rsidRDefault="00A33860" w14:paraId="11EA6F6E" w14:textId="77777777">
            <w:pPr>
              <w:spacing w:before="240"/>
              <w:rPr>
                <w:rFonts w:ascii="Times New Roman" w:hAnsi="Times New Roman" w:cs="Times New Roman"/>
                <w:b/>
                <w:bCs/>
              </w:rPr>
            </w:pPr>
            <w:r w:rsidRPr="00A33860">
              <w:rPr>
                <w:rFonts w:ascii="Times New Roman" w:hAnsi="Times New Roman" w:cs="Times New Roman"/>
                <w:b/>
                <w:bCs/>
              </w:rPr>
              <w:lastRenderedPageBreak/>
              <w:t>Buitenlandse Zaken</w:t>
            </w:r>
          </w:p>
        </w:tc>
        <w:tc>
          <w:tcPr>
            <w:tcW w:w="965" w:type="pct"/>
            <w:shd w:val="clear" w:color="auto" w:fill="auto"/>
            <w:hideMark/>
          </w:tcPr>
          <w:p w:rsidRPr="00CB36B8" w:rsidR="00CB36B8" w:rsidP="00CB36B8" w:rsidRDefault="00CB36B8" w14:paraId="7E1C4D8D" w14:textId="77777777">
            <w:pPr>
              <w:spacing w:before="240"/>
              <w:rPr>
                <w:rFonts w:ascii="Times New Roman" w:hAnsi="Times New Roman" w:cs="Times New Roman"/>
              </w:rPr>
            </w:pPr>
            <w:r w:rsidRPr="00CB36B8">
              <w:rPr>
                <w:rFonts w:ascii="Times New Roman" w:hAnsi="Times New Roman" w:cs="Times New Roman"/>
              </w:rPr>
              <w:t>Bijeenkomst UNESCO Curaçao april 2026</w:t>
            </w:r>
          </w:p>
          <w:p w:rsidRPr="00A33860" w:rsidR="00A33860" w:rsidP="00970EEE" w:rsidRDefault="00A33860" w14:paraId="69C18309" w14:textId="175171BF">
            <w:pPr>
              <w:spacing w:before="240"/>
              <w:rPr>
                <w:rFonts w:ascii="Times New Roman" w:hAnsi="Times New Roman" w:cs="Times New Roman"/>
              </w:rPr>
            </w:pPr>
          </w:p>
        </w:tc>
        <w:tc>
          <w:tcPr>
            <w:tcW w:w="1270" w:type="pct"/>
            <w:shd w:val="clear" w:color="auto" w:fill="auto"/>
            <w:hideMark/>
          </w:tcPr>
          <w:p w:rsidRPr="00CB36B8" w:rsidR="00CB36B8" w:rsidP="00CB36B8" w:rsidRDefault="00CB36B8" w14:paraId="31181FE7" w14:textId="77777777">
            <w:pPr>
              <w:spacing w:before="240"/>
              <w:rPr>
                <w:rFonts w:ascii="Times New Roman" w:hAnsi="Times New Roman" w:cs="Times New Roman"/>
              </w:rPr>
            </w:pPr>
            <w:r w:rsidRPr="00CB36B8">
              <w:rPr>
                <w:rFonts w:ascii="Times New Roman" w:hAnsi="Times New Roman" w:cs="Times New Roman"/>
              </w:rPr>
              <w:t>UNESCO (VN-Organisatie voor Onderwijs, Wetenschap en Cultuur)</w:t>
            </w:r>
          </w:p>
          <w:p w:rsidRPr="00A33860" w:rsidR="00A33860" w:rsidP="00970EEE" w:rsidRDefault="00A33860" w14:paraId="3FCCD353" w14:textId="77EE6119">
            <w:pPr>
              <w:spacing w:before="240"/>
              <w:rPr>
                <w:rFonts w:ascii="Times New Roman" w:hAnsi="Times New Roman" w:cs="Times New Roman"/>
              </w:rPr>
            </w:pPr>
          </w:p>
        </w:tc>
        <w:tc>
          <w:tcPr>
            <w:tcW w:w="356" w:type="pct"/>
            <w:shd w:val="clear" w:color="auto" w:fill="auto"/>
            <w:hideMark/>
          </w:tcPr>
          <w:p w:rsidRPr="00CB36B8" w:rsidR="00CB36B8" w:rsidP="00CB36B8" w:rsidRDefault="00CB36B8" w14:paraId="2CFBBB8D" w14:textId="77777777">
            <w:pPr>
              <w:spacing w:before="240"/>
              <w:rPr>
                <w:rFonts w:ascii="Times New Roman" w:hAnsi="Times New Roman" w:cs="Times New Roman"/>
              </w:rPr>
            </w:pPr>
            <w:r w:rsidRPr="00CB36B8">
              <w:rPr>
                <w:rFonts w:ascii="Times New Roman" w:hAnsi="Times New Roman" w:cs="Times New Roman"/>
              </w:rPr>
              <w:t>014182</w:t>
            </w:r>
          </w:p>
          <w:p w:rsidRPr="00A33860" w:rsidR="00A33860" w:rsidP="00970EEE" w:rsidRDefault="00A33860" w14:paraId="2FD3F5F0" w14:textId="5AF23B1C">
            <w:pPr>
              <w:spacing w:before="240"/>
              <w:rPr>
                <w:rFonts w:ascii="Times New Roman" w:hAnsi="Times New Roman" w:cs="Times New Roman"/>
              </w:rPr>
            </w:pPr>
          </w:p>
        </w:tc>
        <w:tc>
          <w:tcPr>
            <w:tcW w:w="1546" w:type="pct"/>
          </w:tcPr>
          <w:p w:rsidRPr="00970EEE" w:rsidR="00A33860" w:rsidP="00970EEE" w:rsidRDefault="00CB36B8" w14:paraId="6EEBAB08" w14:textId="04D1A590">
            <w:pPr>
              <w:spacing w:before="240"/>
              <w:rPr>
                <w:rFonts w:ascii="Times New Roman" w:hAnsi="Times New Roman" w:cs="Times New Roman"/>
              </w:rPr>
            </w:pPr>
            <w:r w:rsidRPr="00CB36B8">
              <w:rPr>
                <w:rFonts w:ascii="Times New Roman" w:hAnsi="Times New Roman" w:cs="Times New Roman"/>
              </w:rPr>
              <w:t>Het verdrag beoogt de wederzijdse verantwoordelijkheden van UNESCO en Curaçao vast te leggen voor een van 20 tot en met 24 april 2026 te houden zitting van de Intergouvernementele Oceanografische Commissie. Hieronder vallen ook de aan de deelnemers toe te kennen privileges en immuniteiten. Met het oog op de tijdelijke aard van de bijeenkomst wordt het verdrag voor niet langer dan een jaar gesloten.</w:t>
            </w:r>
          </w:p>
        </w:tc>
      </w:tr>
      <w:tr w:rsidRPr="00970EEE" w:rsidR="00CB36B8" w:rsidTr="00CB36B8" w14:paraId="0D47432C" w14:textId="77777777">
        <w:trPr>
          <w:trHeight w:val="290"/>
        </w:trPr>
        <w:tc>
          <w:tcPr>
            <w:tcW w:w="862" w:type="pct"/>
            <w:vMerge/>
            <w:shd w:val="clear" w:color="auto" w:fill="auto"/>
          </w:tcPr>
          <w:p w:rsidRPr="00A33860" w:rsidR="00CB36B8" w:rsidP="00970EEE" w:rsidRDefault="00CB36B8" w14:paraId="54D0F043" w14:textId="77777777">
            <w:pPr>
              <w:spacing w:before="240"/>
              <w:rPr>
                <w:rFonts w:ascii="Times New Roman" w:hAnsi="Times New Roman" w:cs="Times New Roman"/>
                <w:b/>
                <w:bCs/>
              </w:rPr>
            </w:pPr>
          </w:p>
        </w:tc>
        <w:tc>
          <w:tcPr>
            <w:tcW w:w="965" w:type="pct"/>
            <w:shd w:val="clear" w:color="auto" w:fill="auto"/>
          </w:tcPr>
          <w:p w:rsidRPr="00A33860" w:rsidR="00CB36B8" w:rsidP="00970EEE" w:rsidRDefault="00CB36B8" w14:paraId="6E9E1EF7" w14:textId="2A31959D">
            <w:pPr>
              <w:spacing w:before="240"/>
              <w:rPr>
                <w:rFonts w:ascii="Times New Roman" w:hAnsi="Times New Roman" w:cs="Times New Roman"/>
              </w:rPr>
            </w:pPr>
            <w:r w:rsidRPr="00CB36B8">
              <w:rPr>
                <w:rFonts w:ascii="Times New Roman" w:hAnsi="Times New Roman" w:cs="Times New Roman"/>
              </w:rPr>
              <w:t>Bijeenkomst VN Nederland november 2025</w:t>
            </w:r>
          </w:p>
        </w:tc>
        <w:tc>
          <w:tcPr>
            <w:tcW w:w="1270" w:type="pct"/>
            <w:shd w:val="clear" w:color="auto" w:fill="auto"/>
          </w:tcPr>
          <w:p w:rsidRPr="00CB36B8" w:rsidR="00CB36B8" w:rsidP="00CB36B8" w:rsidRDefault="00CB36B8" w14:paraId="4D07CE30" w14:textId="77777777">
            <w:pPr>
              <w:spacing w:before="240"/>
              <w:rPr>
                <w:rFonts w:ascii="Times New Roman" w:hAnsi="Times New Roman" w:cs="Times New Roman"/>
              </w:rPr>
            </w:pPr>
            <w:r w:rsidRPr="00CB36B8">
              <w:rPr>
                <w:rFonts w:ascii="Times New Roman" w:hAnsi="Times New Roman" w:cs="Times New Roman"/>
              </w:rPr>
              <w:t>VN (Verenigde Naties)</w:t>
            </w:r>
          </w:p>
          <w:p w:rsidRPr="00A33860" w:rsidR="00CB36B8" w:rsidP="00970EEE" w:rsidRDefault="00CB36B8" w14:paraId="4316E7C3" w14:textId="77777777">
            <w:pPr>
              <w:spacing w:before="240"/>
              <w:rPr>
                <w:rFonts w:ascii="Times New Roman" w:hAnsi="Times New Roman" w:cs="Times New Roman"/>
              </w:rPr>
            </w:pPr>
          </w:p>
        </w:tc>
        <w:tc>
          <w:tcPr>
            <w:tcW w:w="356" w:type="pct"/>
            <w:shd w:val="clear" w:color="auto" w:fill="auto"/>
          </w:tcPr>
          <w:p w:rsidRPr="00CB36B8" w:rsidR="00CB36B8" w:rsidP="00CB36B8" w:rsidRDefault="00CB36B8" w14:paraId="12F81DC6" w14:textId="77777777">
            <w:pPr>
              <w:spacing w:before="240"/>
              <w:rPr>
                <w:rFonts w:ascii="Times New Roman" w:hAnsi="Times New Roman" w:cs="Times New Roman"/>
              </w:rPr>
            </w:pPr>
            <w:r w:rsidRPr="00CB36B8">
              <w:rPr>
                <w:rFonts w:ascii="Times New Roman" w:hAnsi="Times New Roman" w:cs="Times New Roman"/>
              </w:rPr>
              <w:t>014181</w:t>
            </w:r>
          </w:p>
          <w:p w:rsidRPr="00A33860" w:rsidR="00CB36B8" w:rsidP="00970EEE" w:rsidRDefault="00CB36B8" w14:paraId="60C5EB65" w14:textId="77777777">
            <w:pPr>
              <w:spacing w:before="240"/>
              <w:rPr>
                <w:rFonts w:ascii="Times New Roman" w:hAnsi="Times New Roman" w:cs="Times New Roman"/>
              </w:rPr>
            </w:pPr>
          </w:p>
        </w:tc>
        <w:tc>
          <w:tcPr>
            <w:tcW w:w="1546" w:type="pct"/>
          </w:tcPr>
          <w:p w:rsidRPr="00970EEE" w:rsidR="00CB36B8" w:rsidP="00970EEE" w:rsidRDefault="00CB36B8" w14:paraId="23E46D71" w14:textId="72D702DE">
            <w:pPr>
              <w:spacing w:before="240"/>
              <w:rPr>
                <w:rFonts w:ascii="Times New Roman" w:hAnsi="Times New Roman" w:cs="Times New Roman"/>
              </w:rPr>
            </w:pPr>
            <w:r w:rsidRPr="00CB36B8">
              <w:rPr>
                <w:rFonts w:ascii="Times New Roman" w:hAnsi="Times New Roman" w:cs="Times New Roman"/>
              </w:rPr>
              <w:t xml:space="preserve">Het verdrag beoogt de wederzijdse verantwoordelijkheden van het Department of </w:t>
            </w:r>
            <w:proofErr w:type="spellStart"/>
            <w:r w:rsidRPr="00CB36B8">
              <w:rPr>
                <w:rFonts w:ascii="Times New Roman" w:hAnsi="Times New Roman" w:cs="Times New Roman"/>
              </w:rPr>
              <w:t>Peace</w:t>
            </w:r>
            <w:proofErr w:type="spellEnd"/>
            <w:r w:rsidRPr="00CB36B8">
              <w:rPr>
                <w:rFonts w:ascii="Times New Roman" w:hAnsi="Times New Roman" w:cs="Times New Roman"/>
              </w:rPr>
              <w:t xml:space="preserve"> Operations van de Verenigde Naties en Nederland vast te leggen voor een van 10 tot en met 14 november 2025 te houden "United Nations Peacekeeping </w:t>
            </w:r>
            <w:proofErr w:type="spellStart"/>
            <w:r w:rsidRPr="00CB36B8">
              <w:rPr>
                <w:rFonts w:ascii="Times New Roman" w:hAnsi="Times New Roman" w:cs="Times New Roman"/>
              </w:rPr>
              <w:t>Capability</w:t>
            </w:r>
            <w:proofErr w:type="spellEnd"/>
            <w:r w:rsidRPr="00CB36B8">
              <w:rPr>
                <w:rFonts w:ascii="Times New Roman" w:hAnsi="Times New Roman" w:cs="Times New Roman"/>
              </w:rPr>
              <w:t xml:space="preserve"> Readiness System Rapid </w:t>
            </w:r>
            <w:r w:rsidRPr="00CB36B8">
              <w:rPr>
                <w:rFonts w:ascii="Times New Roman" w:hAnsi="Times New Roman" w:cs="Times New Roman"/>
              </w:rPr>
              <w:lastRenderedPageBreak/>
              <w:t>Deployment Level Workshop". Hieronder vallen ook de aan de deelnemers toe te kennen privileges en immuniteiten. Met het oog op de tijdelijke aard van de bijeenkomst wordt het verdrag voor niet langer dan een jaar gesloten.</w:t>
            </w:r>
          </w:p>
        </w:tc>
      </w:tr>
      <w:tr w:rsidRPr="00970EEE" w:rsidR="00CB36B8" w:rsidTr="00CB36B8" w14:paraId="6674AAEF" w14:textId="77777777">
        <w:trPr>
          <w:trHeight w:val="290"/>
        </w:trPr>
        <w:tc>
          <w:tcPr>
            <w:tcW w:w="862" w:type="pct"/>
            <w:vMerge/>
            <w:shd w:val="clear" w:color="auto" w:fill="auto"/>
          </w:tcPr>
          <w:p w:rsidRPr="00A33860" w:rsidR="00CB36B8" w:rsidP="00970EEE" w:rsidRDefault="00CB36B8" w14:paraId="33F6376B" w14:textId="77777777">
            <w:pPr>
              <w:spacing w:before="240"/>
              <w:rPr>
                <w:rFonts w:ascii="Times New Roman" w:hAnsi="Times New Roman" w:cs="Times New Roman"/>
                <w:b/>
                <w:bCs/>
              </w:rPr>
            </w:pPr>
          </w:p>
        </w:tc>
        <w:tc>
          <w:tcPr>
            <w:tcW w:w="965" w:type="pct"/>
            <w:shd w:val="clear" w:color="auto" w:fill="auto"/>
          </w:tcPr>
          <w:p w:rsidRPr="00A33860" w:rsidR="00CB36B8" w:rsidP="00970EEE" w:rsidRDefault="00CB36B8" w14:paraId="07B8E07C" w14:textId="2A8561E3">
            <w:pPr>
              <w:spacing w:before="240"/>
              <w:rPr>
                <w:rFonts w:ascii="Times New Roman" w:hAnsi="Times New Roman" w:cs="Times New Roman"/>
              </w:rPr>
            </w:pPr>
            <w:r w:rsidRPr="00A33860">
              <w:rPr>
                <w:rFonts w:ascii="Times New Roman" w:hAnsi="Times New Roman" w:cs="Times New Roman"/>
              </w:rPr>
              <w:t>EUROPOL verbindingsofficieren Qatar</w:t>
            </w:r>
          </w:p>
        </w:tc>
        <w:tc>
          <w:tcPr>
            <w:tcW w:w="1270" w:type="pct"/>
            <w:shd w:val="clear" w:color="auto" w:fill="auto"/>
          </w:tcPr>
          <w:p w:rsidRPr="00A33860" w:rsidR="00CB36B8" w:rsidP="00970EEE" w:rsidRDefault="00CB36B8" w14:paraId="5A88BC01" w14:textId="0F0FECDA">
            <w:pPr>
              <w:spacing w:before="240"/>
              <w:rPr>
                <w:rFonts w:ascii="Times New Roman" w:hAnsi="Times New Roman" w:cs="Times New Roman"/>
              </w:rPr>
            </w:pPr>
            <w:r w:rsidRPr="00A33860">
              <w:rPr>
                <w:rFonts w:ascii="Times New Roman" w:hAnsi="Times New Roman" w:cs="Times New Roman"/>
              </w:rPr>
              <w:t>Qatar</w:t>
            </w:r>
          </w:p>
        </w:tc>
        <w:tc>
          <w:tcPr>
            <w:tcW w:w="356" w:type="pct"/>
            <w:shd w:val="clear" w:color="auto" w:fill="auto"/>
          </w:tcPr>
          <w:p w:rsidRPr="00A33860" w:rsidR="00CB36B8" w:rsidP="00970EEE" w:rsidRDefault="00CB36B8" w14:paraId="4AA14CBA" w14:textId="19D28CEC">
            <w:pPr>
              <w:spacing w:before="240"/>
              <w:rPr>
                <w:rFonts w:ascii="Times New Roman" w:hAnsi="Times New Roman" w:cs="Times New Roman"/>
              </w:rPr>
            </w:pPr>
            <w:r w:rsidRPr="00A33860">
              <w:rPr>
                <w:rFonts w:ascii="Times New Roman" w:hAnsi="Times New Roman" w:cs="Times New Roman"/>
              </w:rPr>
              <w:t>014194</w:t>
            </w:r>
          </w:p>
        </w:tc>
        <w:tc>
          <w:tcPr>
            <w:tcW w:w="1546" w:type="pct"/>
          </w:tcPr>
          <w:p w:rsidRPr="007C4846" w:rsidR="00CB36B8" w:rsidP="00970EEE" w:rsidRDefault="00CB36B8" w14:paraId="290957A9" w14:textId="196B1180">
            <w:pPr>
              <w:spacing w:before="240"/>
              <w:rPr>
                <w:rFonts w:ascii="Times New Roman" w:hAnsi="Times New Roman" w:cs="Times New Roman"/>
              </w:rPr>
            </w:pPr>
            <w:r w:rsidRPr="007C4846">
              <w:rPr>
                <w:rFonts w:ascii="Times New Roman" w:hAnsi="Times New Roman" w:cs="Times New Roman"/>
              </w:rPr>
              <w:t xml:space="preserve">Op grond van Verordening (EU) 2016/794 </w:t>
            </w:r>
            <w:proofErr w:type="gramStart"/>
            <w:r w:rsidRPr="007C4846">
              <w:rPr>
                <w:rFonts w:ascii="Times New Roman" w:hAnsi="Times New Roman" w:cs="Times New Roman"/>
              </w:rPr>
              <w:t>inzake</w:t>
            </w:r>
            <w:proofErr w:type="gramEnd"/>
            <w:r w:rsidRPr="007C4846">
              <w:rPr>
                <w:rFonts w:ascii="Times New Roman" w:hAnsi="Times New Roman" w:cs="Times New Roman"/>
              </w:rPr>
              <w:t xml:space="preserve"> Europol worden verbindingsofficieren door Qatar naar Nederland (als vestigingsstaat van Europol) gezonden en bij Europol te Den Haag gedetacheerd. Door de Qatarese autoriteiten is verzocht om aan deze verbindingsofficieren en hun familieleden voorrechten en immuniteiten toe te kennen. Daartoe wordt met Qatar een verdrag gesloten, overeenkomstig soortgelijke verdragen die het Koninkrijk der Nederlanden met de lidstaten van Europol en derde landen heeft gesloten.</w:t>
            </w:r>
          </w:p>
        </w:tc>
      </w:tr>
      <w:tr w:rsidRPr="00970EEE" w:rsidR="00C36763" w:rsidTr="00CB36B8" w14:paraId="705325BA" w14:textId="30FEB9F5">
        <w:trPr>
          <w:trHeight w:val="580"/>
        </w:trPr>
        <w:tc>
          <w:tcPr>
            <w:tcW w:w="862" w:type="pct"/>
            <w:vMerge/>
            <w:vAlign w:val="center"/>
            <w:hideMark/>
          </w:tcPr>
          <w:p w:rsidRPr="00A33860" w:rsidR="00A33860" w:rsidP="00970EEE" w:rsidRDefault="00A33860" w14:paraId="3C9E0E05" w14:textId="77777777">
            <w:pPr>
              <w:spacing w:before="240"/>
              <w:rPr>
                <w:rFonts w:ascii="Times New Roman" w:hAnsi="Times New Roman" w:cs="Times New Roman"/>
                <w:b/>
                <w:bCs/>
              </w:rPr>
            </w:pPr>
          </w:p>
        </w:tc>
        <w:tc>
          <w:tcPr>
            <w:tcW w:w="965" w:type="pct"/>
            <w:shd w:val="clear" w:color="auto" w:fill="auto"/>
            <w:hideMark/>
          </w:tcPr>
          <w:p w:rsidRPr="00A33860" w:rsidR="00A33860" w:rsidP="00970EEE" w:rsidRDefault="00A33860" w14:paraId="168CA64B" w14:textId="77777777">
            <w:pPr>
              <w:spacing w:before="240"/>
              <w:rPr>
                <w:rFonts w:ascii="Times New Roman" w:hAnsi="Times New Roman" w:cs="Times New Roman"/>
              </w:rPr>
            </w:pPr>
            <w:proofErr w:type="gramStart"/>
            <w:r w:rsidRPr="00A33860">
              <w:rPr>
                <w:rFonts w:ascii="Times New Roman" w:hAnsi="Times New Roman" w:cs="Times New Roman"/>
              </w:rPr>
              <w:t>IAEA bijeenkomst</w:t>
            </w:r>
            <w:proofErr w:type="gramEnd"/>
            <w:r w:rsidRPr="00A33860">
              <w:rPr>
                <w:rFonts w:ascii="Times New Roman" w:hAnsi="Times New Roman" w:cs="Times New Roman"/>
              </w:rPr>
              <w:t xml:space="preserve"> Utrecht december 2025</w:t>
            </w:r>
          </w:p>
        </w:tc>
        <w:tc>
          <w:tcPr>
            <w:tcW w:w="1270" w:type="pct"/>
            <w:shd w:val="clear" w:color="auto" w:fill="auto"/>
            <w:hideMark/>
          </w:tcPr>
          <w:p w:rsidRPr="00A33860" w:rsidR="00A33860" w:rsidP="00970EEE" w:rsidRDefault="00A33860" w14:paraId="2CD441DF" w14:textId="77777777">
            <w:pPr>
              <w:spacing w:before="240"/>
              <w:rPr>
                <w:rFonts w:ascii="Times New Roman" w:hAnsi="Times New Roman" w:cs="Times New Roman"/>
              </w:rPr>
            </w:pPr>
            <w:r w:rsidRPr="00A33860">
              <w:rPr>
                <w:rFonts w:ascii="Times New Roman" w:hAnsi="Times New Roman" w:cs="Times New Roman"/>
              </w:rPr>
              <w:t>IAEA (Internationaal Agentschap voor Atoomenergie)</w:t>
            </w:r>
          </w:p>
        </w:tc>
        <w:tc>
          <w:tcPr>
            <w:tcW w:w="356" w:type="pct"/>
            <w:shd w:val="clear" w:color="auto" w:fill="auto"/>
            <w:hideMark/>
          </w:tcPr>
          <w:p w:rsidRPr="00A33860" w:rsidR="00A33860" w:rsidP="00970EEE" w:rsidRDefault="00A33860" w14:paraId="65EFCB72" w14:textId="77777777">
            <w:pPr>
              <w:spacing w:before="240"/>
              <w:rPr>
                <w:rFonts w:ascii="Times New Roman" w:hAnsi="Times New Roman" w:cs="Times New Roman"/>
              </w:rPr>
            </w:pPr>
            <w:r w:rsidRPr="00A33860">
              <w:rPr>
                <w:rFonts w:ascii="Times New Roman" w:hAnsi="Times New Roman" w:cs="Times New Roman"/>
              </w:rPr>
              <w:t>014190</w:t>
            </w:r>
          </w:p>
        </w:tc>
        <w:tc>
          <w:tcPr>
            <w:tcW w:w="1546" w:type="pct"/>
          </w:tcPr>
          <w:p w:rsidRPr="00970EEE" w:rsidR="00A33860" w:rsidP="00970EEE" w:rsidRDefault="00970EEE" w14:paraId="3730AEB1" w14:textId="076EBB00">
            <w:pPr>
              <w:spacing w:before="240"/>
              <w:rPr>
                <w:rFonts w:ascii="Times New Roman" w:hAnsi="Times New Roman" w:cs="Times New Roman"/>
              </w:rPr>
            </w:pPr>
            <w:r w:rsidRPr="00970EEE">
              <w:rPr>
                <w:rFonts w:ascii="Times New Roman" w:hAnsi="Times New Roman" w:cs="Times New Roman"/>
              </w:rPr>
              <w:t xml:space="preserve">Het verdrag beoogt de wederzijdse verantwoordelijkheden van de IAEA en Nederland vast te leggen voor een van 15 </w:t>
            </w:r>
            <w:r w:rsidRPr="00970EEE">
              <w:rPr>
                <w:rFonts w:ascii="Times New Roman" w:hAnsi="Times New Roman" w:cs="Times New Roman"/>
              </w:rPr>
              <w:lastRenderedPageBreak/>
              <w:t>tot en met 19 december 2025 te houden "</w:t>
            </w:r>
            <w:proofErr w:type="spellStart"/>
            <w:r w:rsidRPr="00970EEE">
              <w:rPr>
                <w:rFonts w:ascii="Times New Roman" w:hAnsi="Times New Roman" w:cs="Times New Roman"/>
              </w:rPr>
              <w:t>Regional</w:t>
            </w:r>
            <w:proofErr w:type="spellEnd"/>
            <w:r w:rsidRPr="00970EEE">
              <w:rPr>
                <w:rFonts w:ascii="Times New Roman" w:hAnsi="Times New Roman" w:cs="Times New Roman"/>
              </w:rPr>
              <w:t xml:space="preserve"> Training Course on Practical </w:t>
            </w:r>
            <w:proofErr w:type="spellStart"/>
            <w:r w:rsidRPr="00970EEE">
              <w:rPr>
                <w:rFonts w:ascii="Times New Roman" w:hAnsi="Times New Roman" w:cs="Times New Roman"/>
              </w:rPr>
              <w:t>Aspects</w:t>
            </w:r>
            <w:proofErr w:type="spellEnd"/>
            <w:r w:rsidRPr="00970EEE">
              <w:rPr>
                <w:rFonts w:ascii="Times New Roman" w:hAnsi="Times New Roman" w:cs="Times New Roman"/>
              </w:rPr>
              <w:t xml:space="preserve"> of </w:t>
            </w:r>
            <w:proofErr w:type="spellStart"/>
            <w:r w:rsidRPr="00970EEE">
              <w:rPr>
                <w:rFonts w:ascii="Times New Roman" w:hAnsi="Times New Roman" w:cs="Times New Roman"/>
              </w:rPr>
              <w:t>Paediatric</w:t>
            </w:r>
            <w:proofErr w:type="spellEnd"/>
            <w:r w:rsidRPr="00970EEE">
              <w:rPr>
                <w:rFonts w:ascii="Times New Roman" w:hAnsi="Times New Roman" w:cs="Times New Roman"/>
              </w:rPr>
              <w:t xml:space="preserve"> </w:t>
            </w:r>
            <w:proofErr w:type="spellStart"/>
            <w:r w:rsidRPr="00970EEE">
              <w:rPr>
                <w:rFonts w:ascii="Times New Roman" w:hAnsi="Times New Roman" w:cs="Times New Roman"/>
              </w:rPr>
              <w:t>Radiotherapy</w:t>
            </w:r>
            <w:proofErr w:type="spellEnd"/>
            <w:r w:rsidRPr="00970EEE">
              <w:rPr>
                <w:rFonts w:ascii="Times New Roman" w:hAnsi="Times New Roman" w:cs="Times New Roman"/>
              </w:rPr>
              <w:t>: Module I". Hieronder vallen ook de aan de deelnemers toe te kennen privileges en immuniteiten. Met het oog op de tijdelijke aard van de bijeenkomst zal het verdrag voor niet langer dan een jaar worden gesloten.</w:t>
            </w:r>
          </w:p>
        </w:tc>
      </w:tr>
      <w:tr w:rsidRPr="00970EEE" w:rsidR="00C36763" w:rsidTr="00CB36B8" w14:paraId="6D623057" w14:textId="359BC706">
        <w:trPr>
          <w:trHeight w:val="290"/>
        </w:trPr>
        <w:tc>
          <w:tcPr>
            <w:tcW w:w="862" w:type="pct"/>
            <w:vMerge/>
            <w:vAlign w:val="center"/>
            <w:hideMark/>
          </w:tcPr>
          <w:p w:rsidRPr="00A33860" w:rsidR="00A33860" w:rsidP="00970EEE" w:rsidRDefault="00A33860" w14:paraId="40DB483B" w14:textId="77777777">
            <w:pPr>
              <w:spacing w:before="240"/>
              <w:rPr>
                <w:rFonts w:ascii="Times New Roman" w:hAnsi="Times New Roman" w:cs="Times New Roman"/>
                <w:b/>
                <w:bCs/>
              </w:rPr>
            </w:pPr>
          </w:p>
        </w:tc>
        <w:tc>
          <w:tcPr>
            <w:tcW w:w="965" w:type="pct"/>
            <w:shd w:val="clear" w:color="auto" w:fill="auto"/>
            <w:hideMark/>
          </w:tcPr>
          <w:p w:rsidRPr="00A33860" w:rsidR="00A33860" w:rsidP="00970EEE" w:rsidRDefault="00A33860" w14:paraId="376EDC6C" w14:textId="77777777">
            <w:pPr>
              <w:spacing w:before="240"/>
              <w:rPr>
                <w:rFonts w:ascii="Times New Roman" w:hAnsi="Times New Roman" w:cs="Times New Roman"/>
              </w:rPr>
            </w:pPr>
            <w:r w:rsidRPr="00A33860">
              <w:rPr>
                <w:rFonts w:ascii="Times New Roman" w:hAnsi="Times New Roman" w:cs="Times New Roman"/>
              </w:rPr>
              <w:t>Vermijden dubbele belasting m.b.t. inkomen (Curaçao)</w:t>
            </w:r>
          </w:p>
        </w:tc>
        <w:tc>
          <w:tcPr>
            <w:tcW w:w="1270" w:type="pct"/>
            <w:shd w:val="clear" w:color="auto" w:fill="auto"/>
            <w:hideMark/>
          </w:tcPr>
          <w:p w:rsidRPr="00A33860" w:rsidR="00A33860" w:rsidP="00970EEE" w:rsidRDefault="00A33860" w14:paraId="330ADEAC" w14:textId="77777777">
            <w:pPr>
              <w:spacing w:before="240"/>
              <w:rPr>
                <w:rFonts w:ascii="Times New Roman" w:hAnsi="Times New Roman" w:cs="Times New Roman"/>
              </w:rPr>
            </w:pPr>
            <w:r w:rsidRPr="00A33860">
              <w:rPr>
                <w:rFonts w:ascii="Times New Roman" w:hAnsi="Times New Roman" w:cs="Times New Roman"/>
              </w:rPr>
              <w:t>Barbados</w:t>
            </w:r>
          </w:p>
        </w:tc>
        <w:tc>
          <w:tcPr>
            <w:tcW w:w="356" w:type="pct"/>
            <w:shd w:val="clear" w:color="auto" w:fill="auto"/>
            <w:hideMark/>
          </w:tcPr>
          <w:p w:rsidRPr="00A33860" w:rsidR="00A33860" w:rsidP="00970EEE" w:rsidRDefault="00A33860" w14:paraId="430D323E" w14:textId="77777777">
            <w:pPr>
              <w:spacing w:before="240"/>
              <w:rPr>
                <w:rFonts w:ascii="Times New Roman" w:hAnsi="Times New Roman" w:cs="Times New Roman"/>
              </w:rPr>
            </w:pPr>
            <w:r w:rsidRPr="00A33860">
              <w:rPr>
                <w:rFonts w:ascii="Times New Roman" w:hAnsi="Times New Roman" w:cs="Times New Roman"/>
              </w:rPr>
              <w:t>014184</w:t>
            </w:r>
          </w:p>
        </w:tc>
        <w:tc>
          <w:tcPr>
            <w:tcW w:w="1546" w:type="pct"/>
          </w:tcPr>
          <w:p w:rsidRPr="00970EEE" w:rsidR="00A33860" w:rsidP="00970EEE" w:rsidRDefault="00970EEE" w14:paraId="342EFBE2" w14:textId="55D682F8">
            <w:pPr>
              <w:spacing w:before="240"/>
              <w:rPr>
                <w:rFonts w:ascii="Times New Roman" w:hAnsi="Times New Roman" w:cs="Times New Roman"/>
              </w:rPr>
            </w:pPr>
            <w:r w:rsidRPr="00970EEE">
              <w:rPr>
                <w:rFonts w:ascii="Times New Roman" w:hAnsi="Times New Roman" w:cs="Times New Roman"/>
              </w:rPr>
              <w:t>Belastingverdrag dat aanwijst welke van de (jurisdicties met fiscale autonomie van de) verdragsluitende staten bevoegd is om in overeenstemming met de nationale wetgeving belasting te heffen over het inkomen van inwoners van één of van beide landen met daarbij ook maatregelen over onderling overleg, uitwisseling van gegevens en bijstand bij de invordering van belastingschulden</w:t>
            </w:r>
            <w:r>
              <w:rPr>
                <w:rFonts w:ascii="Times New Roman" w:hAnsi="Times New Roman" w:cs="Times New Roman"/>
              </w:rPr>
              <w:t>.</w:t>
            </w:r>
          </w:p>
        </w:tc>
      </w:tr>
      <w:tr w:rsidRPr="00970EEE" w:rsidR="00C36763" w:rsidTr="00CB36B8" w14:paraId="1F611B79" w14:textId="4861603E">
        <w:trPr>
          <w:trHeight w:val="290"/>
        </w:trPr>
        <w:tc>
          <w:tcPr>
            <w:tcW w:w="862" w:type="pct"/>
            <w:vMerge/>
            <w:vAlign w:val="center"/>
            <w:hideMark/>
          </w:tcPr>
          <w:p w:rsidRPr="00A33860" w:rsidR="00A33860" w:rsidP="00970EEE" w:rsidRDefault="00A33860" w14:paraId="6AE57CF4" w14:textId="77777777">
            <w:pPr>
              <w:spacing w:before="240"/>
              <w:rPr>
                <w:rFonts w:ascii="Times New Roman" w:hAnsi="Times New Roman" w:cs="Times New Roman"/>
                <w:b/>
                <w:bCs/>
              </w:rPr>
            </w:pPr>
          </w:p>
        </w:tc>
        <w:tc>
          <w:tcPr>
            <w:tcW w:w="965" w:type="pct"/>
            <w:shd w:val="clear" w:color="auto" w:fill="auto"/>
            <w:hideMark/>
          </w:tcPr>
          <w:p w:rsidRPr="00A33860" w:rsidR="00A33860" w:rsidP="00970EEE" w:rsidRDefault="00A33860" w14:paraId="00F78685" w14:textId="77777777">
            <w:pPr>
              <w:spacing w:before="240"/>
              <w:rPr>
                <w:rFonts w:ascii="Times New Roman" w:hAnsi="Times New Roman" w:cs="Times New Roman"/>
              </w:rPr>
            </w:pPr>
            <w:r w:rsidRPr="00A33860">
              <w:rPr>
                <w:rFonts w:ascii="Times New Roman" w:hAnsi="Times New Roman" w:cs="Times New Roman"/>
              </w:rPr>
              <w:t>Vermijden dubbele belasting m.b.t. inkomen (Curaçao)</w:t>
            </w:r>
          </w:p>
        </w:tc>
        <w:tc>
          <w:tcPr>
            <w:tcW w:w="1270" w:type="pct"/>
            <w:shd w:val="clear" w:color="auto" w:fill="auto"/>
            <w:hideMark/>
          </w:tcPr>
          <w:p w:rsidRPr="00A33860" w:rsidR="00A33860" w:rsidP="00970EEE" w:rsidRDefault="00A33860" w14:paraId="32F042C1" w14:textId="77777777">
            <w:pPr>
              <w:spacing w:before="240"/>
              <w:rPr>
                <w:rFonts w:ascii="Times New Roman" w:hAnsi="Times New Roman" w:cs="Times New Roman"/>
              </w:rPr>
            </w:pPr>
            <w:r w:rsidRPr="00A33860">
              <w:rPr>
                <w:rFonts w:ascii="Times New Roman" w:hAnsi="Times New Roman" w:cs="Times New Roman"/>
              </w:rPr>
              <w:t>Luxemburg</w:t>
            </w:r>
          </w:p>
        </w:tc>
        <w:tc>
          <w:tcPr>
            <w:tcW w:w="356" w:type="pct"/>
            <w:shd w:val="clear" w:color="auto" w:fill="auto"/>
            <w:hideMark/>
          </w:tcPr>
          <w:p w:rsidRPr="00A33860" w:rsidR="00A33860" w:rsidP="00970EEE" w:rsidRDefault="00A33860" w14:paraId="463DC6EC" w14:textId="77777777">
            <w:pPr>
              <w:spacing w:before="240"/>
              <w:rPr>
                <w:rFonts w:ascii="Times New Roman" w:hAnsi="Times New Roman" w:cs="Times New Roman"/>
              </w:rPr>
            </w:pPr>
            <w:r w:rsidRPr="00A33860">
              <w:rPr>
                <w:rFonts w:ascii="Times New Roman" w:hAnsi="Times New Roman" w:cs="Times New Roman"/>
              </w:rPr>
              <w:t>014187</w:t>
            </w:r>
          </w:p>
        </w:tc>
        <w:tc>
          <w:tcPr>
            <w:tcW w:w="1546" w:type="pct"/>
          </w:tcPr>
          <w:p w:rsidRPr="00970EEE" w:rsidR="00A33860" w:rsidP="00970EEE" w:rsidRDefault="00970EEE" w14:paraId="5AB60988" w14:textId="028699E6">
            <w:pPr>
              <w:spacing w:before="240"/>
              <w:rPr>
                <w:rFonts w:ascii="Times New Roman" w:hAnsi="Times New Roman" w:cs="Times New Roman"/>
              </w:rPr>
            </w:pPr>
            <w:r w:rsidRPr="00970EEE">
              <w:rPr>
                <w:rFonts w:ascii="Times New Roman" w:hAnsi="Times New Roman" w:cs="Times New Roman"/>
              </w:rPr>
              <w:t xml:space="preserve">Belastingverdrag dat aanwijst welke van de (jurisdicties met fiscale autonomie van de) verdragsluitende staten bevoegd is om in overeenstemming met de nationale </w:t>
            </w:r>
            <w:r w:rsidRPr="00970EEE">
              <w:rPr>
                <w:rFonts w:ascii="Times New Roman" w:hAnsi="Times New Roman" w:cs="Times New Roman"/>
              </w:rPr>
              <w:lastRenderedPageBreak/>
              <w:t>wetgeving belasting te heffen over het inkomen van inwoners van één of van beide landen met daarbij ook maatregelen over onderling overleg, uitwisseling van gegevens en bijstand bij de invordering van belastingschulden.</w:t>
            </w:r>
          </w:p>
        </w:tc>
      </w:tr>
      <w:tr w:rsidRPr="00970EEE" w:rsidR="00C36763" w:rsidTr="00CB36B8" w14:paraId="594CE025" w14:textId="26295616">
        <w:trPr>
          <w:trHeight w:val="290"/>
        </w:trPr>
        <w:tc>
          <w:tcPr>
            <w:tcW w:w="862" w:type="pct"/>
            <w:vMerge/>
            <w:vAlign w:val="center"/>
            <w:hideMark/>
          </w:tcPr>
          <w:p w:rsidRPr="00A33860" w:rsidR="00A33860" w:rsidP="00970EEE" w:rsidRDefault="00A33860" w14:paraId="6B67AC5F" w14:textId="77777777">
            <w:pPr>
              <w:spacing w:before="240"/>
              <w:rPr>
                <w:rFonts w:ascii="Times New Roman" w:hAnsi="Times New Roman" w:cs="Times New Roman"/>
                <w:b/>
                <w:bCs/>
              </w:rPr>
            </w:pPr>
          </w:p>
        </w:tc>
        <w:tc>
          <w:tcPr>
            <w:tcW w:w="965" w:type="pct"/>
            <w:shd w:val="clear" w:color="auto" w:fill="auto"/>
            <w:hideMark/>
          </w:tcPr>
          <w:p w:rsidRPr="00A33860" w:rsidR="00A33860" w:rsidP="00970EEE" w:rsidRDefault="00970EEE" w14:paraId="034CBA4B" w14:textId="5246985C">
            <w:pPr>
              <w:spacing w:before="240"/>
              <w:rPr>
                <w:rFonts w:ascii="Times New Roman" w:hAnsi="Times New Roman" w:cs="Times New Roman"/>
              </w:rPr>
            </w:pPr>
            <w:r w:rsidRPr="00970EEE">
              <w:rPr>
                <w:rFonts w:ascii="Times New Roman" w:hAnsi="Times New Roman" w:cs="Times New Roman"/>
              </w:rPr>
              <w:t>Z</w:t>
            </w:r>
            <w:r w:rsidRPr="00A33860" w:rsidR="00A33860">
              <w:rPr>
                <w:rFonts w:ascii="Times New Roman" w:hAnsi="Times New Roman" w:cs="Times New Roman"/>
              </w:rPr>
              <w:t>etelverdrag ESA ESTEC; wijziging artikel 16</w:t>
            </w:r>
          </w:p>
        </w:tc>
        <w:tc>
          <w:tcPr>
            <w:tcW w:w="1270" w:type="pct"/>
            <w:shd w:val="clear" w:color="auto" w:fill="auto"/>
            <w:noWrap/>
            <w:hideMark/>
          </w:tcPr>
          <w:p w:rsidRPr="00A33860" w:rsidR="00A33860" w:rsidP="00970EEE" w:rsidRDefault="00A33860" w14:paraId="31937370" w14:textId="1F757810">
            <w:pPr>
              <w:spacing w:before="240"/>
              <w:rPr>
                <w:rFonts w:ascii="Times New Roman" w:hAnsi="Times New Roman" w:cs="Times New Roman"/>
              </w:rPr>
            </w:pPr>
            <w:r w:rsidRPr="00A33860">
              <w:rPr>
                <w:rFonts w:ascii="Times New Roman" w:hAnsi="Times New Roman" w:cs="Times New Roman"/>
              </w:rPr>
              <w:t> </w:t>
            </w:r>
            <w:r w:rsidR="00C36763">
              <w:rPr>
                <w:rFonts w:ascii="Times New Roman" w:hAnsi="Times New Roman" w:cs="Times New Roman"/>
              </w:rPr>
              <w:t xml:space="preserve">ESA </w:t>
            </w:r>
            <w:r w:rsidRPr="00C36763" w:rsidR="00C36763">
              <w:rPr>
                <w:rFonts w:ascii="Times New Roman" w:hAnsi="Times New Roman" w:cs="Times New Roman"/>
              </w:rPr>
              <w:t>(Europese Ruimteorganisatie)</w:t>
            </w:r>
          </w:p>
        </w:tc>
        <w:tc>
          <w:tcPr>
            <w:tcW w:w="356" w:type="pct"/>
            <w:shd w:val="clear" w:color="auto" w:fill="auto"/>
            <w:hideMark/>
          </w:tcPr>
          <w:p w:rsidRPr="00A33860" w:rsidR="00A33860" w:rsidP="00970EEE" w:rsidRDefault="00A33860" w14:paraId="00C05F45" w14:textId="77777777">
            <w:pPr>
              <w:spacing w:before="240"/>
              <w:rPr>
                <w:rFonts w:ascii="Times New Roman" w:hAnsi="Times New Roman" w:cs="Times New Roman"/>
              </w:rPr>
            </w:pPr>
            <w:r w:rsidRPr="00A33860">
              <w:rPr>
                <w:rFonts w:ascii="Times New Roman" w:hAnsi="Times New Roman" w:cs="Times New Roman"/>
              </w:rPr>
              <w:t>014202</w:t>
            </w:r>
          </w:p>
        </w:tc>
        <w:tc>
          <w:tcPr>
            <w:tcW w:w="1546" w:type="pct"/>
          </w:tcPr>
          <w:p w:rsidRPr="00970EEE" w:rsidR="00A33860" w:rsidP="00970EEE" w:rsidRDefault="00CB36B8" w14:paraId="1AD853A6" w14:textId="259DF3BC">
            <w:pPr>
              <w:spacing w:before="240"/>
              <w:rPr>
                <w:rFonts w:ascii="Times New Roman" w:hAnsi="Times New Roman" w:cs="Times New Roman"/>
              </w:rPr>
            </w:pPr>
            <w:r w:rsidRPr="00CB36B8">
              <w:rPr>
                <w:rFonts w:ascii="Times New Roman" w:hAnsi="Times New Roman" w:cs="Times New Roman"/>
              </w:rPr>
              <w:t xml:space="preserve">Dit verdrag dient ter wijziging van het op 21 februari 2008 te ’s-Gravenhage tot stand gekomen Verdrag tussen het Koninkrijk der Nederlanden en het Europees Ruimte Agentschap </w:t>
            </w:r>
            <w:proofErr w:type="gramStart"/>
            <w:r w:rsidRPr="00CB36B8">
              <w:rPr>
                <w:rFonts w:ascii="Times New Roman" w:hAnsi="Times New Roman" w:cs="Times New Roman"/>
              </w:rPr>
              <w:t>inzake</w:t>
            </w:r>
            <w:proofErr w:type="gramEnd"/>
            <w:r w:rsidRPr="00CB36B8">
              <w:rPr>
                <w:rFonts w:ascii="Times New Roman" w:hAnsi="Times New Roman" w:cs="Times New Roman"/>
              </w:rPr>
              <w:t xml:space="preserve"> het Europees Centrum voor onderzoek en technologieontwikkeling op ruimtevaartgebied (</w:t>
            </w:r>
            <w:proofErr w:type="spellStart"/>
            <w:r w:rsidRPr="00CB36B8">
              <w:rPr>
                <w:rFonts w:ascii="Times New Roman" w:hAnsi="Times New Roman" w:cs="Times New Roman"/>
              </w:rPr>
              <w:t>Trb</w:t>
            </w:r>
            <w:proofErr w:type="spellEnd"/>
            <w:r w:rsidRPr="00CB36B8">
              <w:rPr>
                <w:rFonts w:ascii="Times New Roman" w:hAnsi="Times New Roman" w:cs="Times New Roman"/>
              </w:rPr>
              <w:t xml:space="preserve">. 2008, 33). De wijziging betreft meerdere bepalingen uit het zetelverdrag die de status van </w:t>
            </w:r>
            <w:r w:rsidRPr="00CB36B8">
              <w:rPr>
                <w:rFonts w:ascii="Times New Roman" w:hAnsi="Times New Roman" w:cs="Times New Roman"/>
                <w:i/>
                <w:iCs/>
              </w:rPr>
              <w:t xml:space="preserve">private </w:t>
            </w:r>
            <w:proofErr w:type="spellStart"/>
            <w:r w:rsidRPr="00CB36B8">
              <w:rPr>
                <w:rFonts w:ascii="Times New Roman" w:hAnsi="Times New Roman" w:cs="Times New Roman"/>
                <w:i/>
                <w:iCs/>
              </w:rPr>
              <w:t>servants</w:t>
            </w:r>
            <w:proofErr w:type="spellEnd"/>
            <w:r w:rsidRPr="00CB36B8">
              <w:rPr>
                <w:rFonts w:ascii="Times New Roman" w:hAnsi="Times New Roman" w:cs="Times New Roman"/>
                <w:i/>
                <w:iCs/>
              </w:rPr>
              <w:t xml:space="preserve"> </w:t>
            </w:r>
            <w:r w:rsidRPr="00CB36B8">
              <w:rPr>
                <w:rFonts w:ascii="Times New Roman" w:hAnsi="Times New Roman" w:cs="Times New Roman"/>
              </w:rPr>
              <w:t>regelen of hiernaar verwijzen.</w:t>
            </w:r>
          </w:p>
        </w:tc>
      </w:tr>
      <w:tr w:rsidRPr="00970EEE" w:rsidR="00C36763" w:rsidTr="00CB36B8" w14:paraId="1905F1FE" w14:textId="6095AAC2">
        <w:trPr>
          <w:trHeight w:val="290"/>
        </w:trPr>
        <w:tc>
          <w:tcPr>
            <w:tcW w:w="862" w:type="pct"/>
            <w:vMerge/>
            <w:vAlign w:val="center"/>
            <w:hideMark/>
          </w:tcPr>
          <w:p w:rsidRPr="00A33860" w:rsidR="00A33860" w:rsidP="00970EEE" w:rsidRDefault="00A33860" w14:paraId="753FDF81" w14:textId="77777777">
            <w:pPr>
              <w:spacing w:before="240"/>
              <w:rPr>
                <w:rFonts w:ascii="Times New Roman" w:hAnsi="Times New Roman" w:cs="Times New Roman"/>
                <w:b/>
                <w:bCs/>
              </w:rPr>
            </w:pPr>
          </w:p>
        </w:tc>
        <w:tc>
          <w:tcPr>
            <w:tcW w:w="965" w:type="pct"/>
            <w:shd w:val="clear" w:color="auto" w:fill="auto"/>
            <w:hideMark/>
          </w:tcPr>
          <w:p w:rsidRPr="00A33860" w:rsidR="00A33860" w:rsidP="00970EEE" w:rsidRDefault="00970EEE" w14:paraId="2E6E3F91" w14:textId="274800CD">
            <w:pPr>
              <w:spacing w:before="240"/>
              <w:rPr>
                <w:rFonts w:ascii="Times New Roman" w:hAnsi="Times New Roman" w:cs="Times New Roman"/>
              </w:rPr>
            </w:pPr>
            <w:r w:rsidRPr="00C36763">
              <w:rPr>
                <w:rFonts w:ascii="Times New Roman" w:hAnsi="Times New Roman" w:cs="Times New Roman"/>
              </w:rPr>
              <w:t>Z</w:t>
            </w:r>
            <w:r w:rsidRPr="00C36763" w:rsidR="00A33860">
              <w:rPr>
                <w:rFonts w:ascii="Times New Roman" w:hAnsi="Times New Roman" w:cs="Times New Roman"/>
              </w:rPr>
              <w:t>etelverdrag UNICC</w:t>
            </w:r>
          </w:p>
        </w:tc>
        <w:tc>
          <w:tcPr>
            <w:tcW w:w="1270" w:type="pct"/>
            <w:shd w:val="clear" w:color="auto" w:fill="auto"/>
            <w:noWrap/>
            <w:hideMark/>
          </w:tcPr>
          <w:p w:rsidRPr="00A33860" w:rsidR="00A33860" w:rsidP="00970EEE" w:rsidRDefault="00C36763" w14:paraId="56896023" w14:textId="008306BF">
            <w:pPr>
              <w:spacing w:before="240"/>
              <w:rPr>
                <w:rFonts w:ascii="Times New Roman" w:hAnsi="Times New Roman" w:cs="Times New Roman"/>
              </w:rPr>
            </w:pPr>
            <w:r w:rsidRPr="00C36763">
              <w:rPr>
                <w:rFonts w:ascii="Times New Roman" w:hAnsi="Times New Roman" w:cs="Times New Roman"/>
                <w:lang w:val="en-US"/>
              </w:rPr>
              <w:t>UNICC (United Nations International Computing Centre)</w:t>
            </w:r>
          </w:p>
        </w:tc>
        <w:tc>
          <w:tcPr>
            <w:tcW w:w="356" w:type="pct"/>
            <w:shd w:val="clear" w:color="auto" w:fill="auto"/>
            <w:hideMark/>
          </w:tcPr>
          <w:p w:rsidRPr="00A33860" w:rsidR="00A33860" w:rsidP="00970EEE" w:rsidRDefault="00A33860" w14:paraId="6F39FCF9" w14:textId="77777777">
            <w:pPr>
              <w:spacing w:before="240"/>
              <w:rPr>
                <w:rFonts w:ascii="Times New Roman" w:hAnsi="Times New Roman" w:cs="Times New Roman"/>
              </w:rPr>
            </w:pPr>
            <w:r w:rsidRPr="00A33860">
              <w:rPr>
                <w:rFonts w:ascii="Times New Roman" w:hAnsi="Times New Roman" w:cs="Times New Roman"/>
              </w:rPr>
              <w:t>014201</w:t>
            </w:r>
          </w:p>
        </w:tc>
        <w:tc>
          <w:tcPr>
            <w:tcW w:w="1546" w:type="pct"/>
          </w:tcPr>
          <w:p w:rsidRPr="00970EEE" w:rsidR="00A33860" w:rsidP="00970EEE" w:rsidRDefault="00D81633" w14:paraId="68C4C34B" w14:textId="0FB00CA8">
            <w:pPr>
              <w:spacing w:before="240"/>
              <w:rPr>
                <w:rFonts w:ascii="Times New Roman" w:hAnsi="Times New Roman" w:cs="Times New Roman"/>
              </w:rPr>
            </w:pPr>
            <w:r w:rsidRPr="00D81633">
              <w:rPr>
                <w:rFonts w:ascii="Times New Roman" w:hAnsi="Times New Roman" w:cs="Times New Roman"/>
              </w:rPr>
              <w:t xml:space="preserve">Het gastlandverdrag met het United Nations International Computing Centre (UNICC) regelt, ten behoeve van een goede uitoefening van de werkzaamheden, onder meer de status en voorrechten en immuniteiten van de organisatie en het </w:t>
            </w:r>
            <w:r w:rsidRPr="00D81633">
              <w:rPr>
                <w:rFonts w:ascii="Times New Roman" w:hAnsi="Times New Roman" w:cs="Times New Roman"/>
              </w:rPr>
              <w:lastRenderedPageBreak/>
              <w:t xml:space="preserve">personeel. Het gastlandverdrag is gebaseerd op het Verdrag </w:t>
            </w:r>
            <w:proofErr w:type="gramStart"/>
            <w:r w:rsidRPr="00D81633">
              <w:rPr>
                <w:rFonts w:ascii="Times New Roman" w:hAnsi="Times New Roman" w:cs="Times New Roman"/>
              </w:rPr>
              <w:t>inzake</w:t>
            </w:r>
            <w:proofErr w:type="gramEnd"/>
            <w:r w:rsidRPr="00D81633">
              <w:rPr>
                <w:rFonts w:ascii="Times New Roman" w:hAnsi="Times New Roman" w:cs="Times New Roman"/>
              </w:rPr>
              <w:t xml:space="preserve"> de voorrechten en immuniteiten van de Verenigde Naties en andere soortgelijke en recente zetelverdragen met in Nederland gevestigde Internationale Organisaties. Bijgevolg worden in het zetelverdrag aan UNICC de gebruikelijke voorrechten en immuniteiten toegekend zoals die ook gelden voor andere (organen van) in Nederland gevestigde Internationale Organisaties.</w:t>
            </w:r>
          </w:p>
        </w:tc>
      </w:tr>
      <w:tr w:rsidRPr="00970EEE" w:rsidR="00C36763" w:rsidTr="00CB36B8" w14:paraId="7F139BF4" w14:textId="1594C526">
        <w:trPr>
          <w:trHeight w:val="290"/>
        </w:trPr>
        <w:tc>
          <w:tcPr>
            <w:tcW w:w="862" w:type="pct"/>
            <w:shd w:val="clear" w:color="auto" w:fill="auto"/>
            <w:hideMark/>
          </w:tcPr>
          <w:p w:rsidRPr="00A33860" w:rsidR="00A33860" w:rsidP="00970EEE" w:rsidRDefault="00A33860" w14:paraId="14216236" w14:textId="77777777">
            <w:pPr>
              <w:spacing w:before="240"/>
              <w:rPr>
                <w:rFonts w:ascii="Times New Roman" w:hAnsi="Times New Roman" w:cs="Times New Roman"/>
                <w:b/>
                <w:bCs/>
              </w:rPr>
            </w:pPr>
            <w:r w:rsidRPr="00A33860">
              <w:rPr>
                <w:rFonts w:ascii="Times New Roman" w:hAnsi="Times New Roman" w:cs="Times New Roman"/>
                <w:b/>
                <w:bCs/>
              </w:rPr>
              <w:lastRenderedPageBreak/>
              <w:t>Defensie</w:t>
            </w:r>
          </w:p>
        </w:tc>
        <w:tc>
          <w:tcPr>
            <w:tcW w:w="965" w:type="pct"/>
            <w:shd w:val="clear" w:color="auto" w:fill="auto"/>
            <w:hideMark/>
          </w:tcPr>
          <w:p w:rsidRPr="00DF4DD5" w:rsidR="00A33860" w:rsidP="00970EEE" w:rsidRDefault="00DF4DD5" w14:paraId="5FC1694A" w14:textId="035CCA6E">
            <w:pPr>
              <w:spacing w:before="240"/>
              <w:rPr>
                <w:rFonts w:ascii="Times New Roman" w:hAnsi="Times New Roman" w:cs="Times New Roman"/>
              </w:rPr>
            </w:pPr>
            <w:r w:rsidRPr="00DF4DD5">
              <w:rPr>
                <w:rFonts w:ascii="Times New Roman" w:hAnsi="Times New Roman" w:cs="Times New Roman"/>
              </w:rPr>
              <w:t xml:space="preserve">Overeenkomst tussen </w:t>
            </w:r>
            <w:proofErr w:type="spellStart"/>
            <w:r w:rsidRPr="00DF4DD5">
              <w:rPr>
                <w:rFonts w:ascii="Times New Roman" w:hAnsi="Times New Roman" w:cs="Times New Roman"/>
              </w:rPr>
              <w:t>KdN</w:t>
            </w:r>
            <w:proofErr w:type="spellEnd"/>
            <w:r w:rsidRPr="00DF4DD5">
              <w:rPr>
                <w:rFonts w:ascii="Times New Roman" w:hAnsi="Times New Roman" w:cs="Times New Roman"/>
              </w:rPr>
              <w:t xml:space="preserve"> en Japan </w:t>
            </w:r>
            <w:proofErr w:type="gramStart"/>
            <w:r w:rsidRPr="00DF4DD5">
              <w:rPr>
                <w:rFonts w:ascii="Times New Roman" w:hAnsi="Times New Roman" w:cs="Times New Roman"/>
              </w:rPr>
              <w:t>inzake</w:t>
            </w:r>
            <w:proofErr w:type="gramEnd"/>
            <w:r w:rsidRPr="00DF4DD5">
              <w:rPr>
                <w:rFonts w:ascii="Times New Roman" w:hAnsi="Times New Roman" w:cs="Times New Roman"/>
              </w:rPr>
              <w:t xml:space="preserve"> wederzijdse militaire logistieke steunverlening</w:t>
            </w:r>
          </w:p>
        </w:tc>
        <w:tc>
          <w:tcPr>
            <w:tcW w:w="1270" w:type="pct"/>
            <w:shd w:val="clear" w:color="auto" w:fill="auto"/>
            <w:hideMark/>
          </w:tcPr>
          <w:p w:rsidRPr="00A33860" w:rsidR="00A33860" w:rsidP="00970EEE" w:rsidRDefault="00A33860" w14:paraId="19F11427" w14:textId="77777777">
            <w:pPr>
              <w:spacing w:before="240"/>
              <w:rPr>
                <w:rFonts w:ascii="Times New Roman" w:hAnsi="Times New Roman" w:cs="Times New Roman"/>
              </w:rPr>
            </w:pPr>
            <w:r w:rsidRPr="00A33860">
              <w:rPr>
                <w:rFonts w:ascii="Times New Roman" w:hAnsi="Times New Roman" w:cs="Times New Roman"/>
              </w:rPr>
              <w:t>Japan</w:t>
            </w:r>
          </w:p>
        </w:tc>
        <w:tc>
          <w:tcPr>
            <w:tcW w:w="356" w:type="pct"/>
            <w:shd w:val="clear" w:color="auto" w:fill="auto"/>
            <w:hideMark/>
          </w:tcPr>
          <w:p w:rsidRPr="00A33860" w:rsidR="00A33860" w:rsidP="00970EEE" w:rsidRDefault="00A33860" w14:paraId="509ECE98" w14:textId="77777777">
            <w:pPr>
              <w:spacing w:before="240"/>
              <w:rPr>
                <w:rFonts w:ascii="Times New Roman" w:hAnsi="Times New Roman" w:cs="Times New Roman"/>
              </w:rPr>
            </w:pPr>
            <w:r w:rsidRPr="00A33860">
              <w:rPr>
                <w:rFonts w:ascii="Times New Roman" w:hAnsi="Times New Roman" w:cs="Times New Roman"/>
              </w:rPr>
              <w:t>014199</w:t>
            </w:r>
          </w:p>
        </w:tc>
        <w:tc>
          <w:tcPr>
            <w:tcW w:w="1546" w:type="pct"/>
          </w:tcPr>
          <w:p w:rsidRPr="00EA0657" w:rsidR="00A33860" w:rsidP="00970EEE" w:rsidRDefault="00EA0657" w14:paraId="075BFFCD" w14:textId="3899AFC1">
            <w:pPr>
              <w:spacing w:before="240"/>
              <w:rPr>
                <w:rFonts w:ascii="Times New Roman" w:hAnsi="Times New Roman" w:cs="Times New Roman"/>
              </w:rPr>
            </w:pPr>
            <w:r w:rsidRPr="00EA0657">
              <w:rPr>
                <w:rFonts w:ascii="Times New Roman" w:hAnsi="Times New Roman" w:cs="Times New Roman"/>
              </w:rPr>
              <w:t>Het verdrag biedt een raamwerk om wederkerige logistieke samenwerking te faciliteren tussen de Japanse Zelfverdedigingstroepen en Nederlandse Krijgsmacht, in de context van defensiesamenwerking, wanneer daar door beide Partijen toe besloten wordt.</w:t>
            </w:r>
          </w:p>
        </w:tc>
      </w:tr>
      <w:tr w:rsidRPr="00970EEE" w:rsidR="00C36763" w:rsidTr="00CB36B8" w14:paraId="5F561530" w14:textId="77777777">
        <w:trPr>
          <w:trHeight w:val="290"/>
        </w:trPr>
        <w:tc>
          <w:tcPr>
            <w:tcW w:w="862" w:type="pct"/>
            <w:shd w:val="clear" w:color="auto" w:fill="auto"/>
          </w:tcPr>
          <w:p w:rsidRPr="00A33860" w:rsidR="00251906" w:rsidP="00970EEE" w:rsidRDefault="00251906" w14:paraId="187B0E3A" w14:textId="32CDD2EB">
            <w:pPr>
              <w:spacing w:before="240"/>
              <w:rPr>
                <w:rFonts w:ascii="Times New Roman" w:hAnsi="Times New Roman" w:cs="Times New Roman"/>
                <w:b/>
                <w:bCs/>
              </w:rPr>
            </w:pPr>
            <w:r>
              <w:rPr>
                <w:rFonts w:ascii="Times New Roman" w:hAnsi="Times New Roman" w:cs="Times New Roman"/>
                <w:b/>
                <w:bCs/>
              </w:rPr>
              <w:t xml:space="preserve">Financiën </w:t>
            </w:r>
          </w:p>
        </w:tc>
        <w:tc>
          <w:tcPr>
            <w:tcW w:w="965" w:type="pct"/>
            <w:shd w:val="clear" w:color="auto" w:fill="auto"/>
          </w:tcPr>
          <w:p w:rsidRPr="00251906" w:rsidR="00251906" w:rsidP="00970EEE" w:rsidRDefault="00251906" w14:paraId="43DD8629" w14:textId="40A94477">
            <w:pPr>
              <w:spacing w:before="240"/>
              <w:rPr>
                <w:rFonts w:ascii="Times New Roman" w:hAnsi="Times New Roman" w:cs="Times New Roman"/>
              </w:rPr>
            </w:pPr>
            <w:r w:rsidRPr="00251906">
              <w:rPr>
                <w:rFonts w:ascii="Times New Roman" w:hAnsi="Times New Roman" w:cs="Times New Roman"/>
              </w:rPr>
              <w:t>Vermijden van dubbele belasting op inkomen; wijziging</w:t>
            </w:r>
          </w:p>
        </w:tc>
        <w:tc>
          <w:tcPr>
            <w:tcW w:w="1270" w:type="pct"/>
            <w:shd w:val="clear" w:color="auto" w:fill="auto"/>
          </w:tcPr>
          <w:p w:rsidRPr="00A33860" w:rsidR="00251906" w:rsidP="00970EEE" w:rsidRDefault="00251906" w14:paraId="2470AA7D" w14:textId="65EEB27E">
            <w:pPr>
              <w:spacing w:before="240"/>
              <w:rPr>
                <w:rFonts w:ascii="Times New Roman" w:hAnsi="Times New Roman" w:cs="Times New Roman"/>
              </w:rPr>
            </w:pPr>
            <w:r>
              <w:rPr>
                <w:rFonts w:ascii="Times New Roman" w:hAnsi="Times New Roman" w:cs="Times New Roman"/>
              </w:rPr>
              <w:t>Nigeria</w:t>
            </w:r>
          </w:p>
        </w:tc>
        <w:tc>
          <w:tcPr>
            <w:tcW w:w="356" w:type="pct"/>
            <w:shd w:val="clear" w:color="auto" w:fill="auto"/>
          </w:tcPr>
          <w:p w:rsidRPr="00A33860" w:rsidR="00251906" w:rsidP="00970EEE" w:rsidRDefault="00251906" w14:paraId="11493DDA" w14:textId="2FF26BCD">
            <w:pPr>
              <w:spacing w:before="240"/>
              <w:rPr>
                <w:rFonts w:ascii="Times New Roman" w:hAnsi="Times New Roman" w:cs="Times New Roman"/>
              </w:rPr>
            </w:pPr>
            <w:r w:rsidRPr="00251906">
              <w:rPr>
                <w:rFonts w:ascii="Times New Roman" w:hAnsi="Times New Roman" w:cs="Times New Roman"/>
              </w:rPr>
              <w:t>012957</w:t>
            </w:r>
          </w:p>
        </w:tc>
        <w:tc>
          <w:tcPr>
            <w:tcW w:w="1546" w:type="pct"/>
          </w:tcPr>
          <w:p w:rsidRPr="00EA0657" w:rsidR="00251906" w:rsidP="00970EEE" w:rsidRDefault="00251906" w14:paraId="41D68FC3" w14:textId="121BD2F7">
            <w:pPr>
              <w:spacing w:before="240"/>
              <w:rPr>
                <w:rFonts w:ascii="Times New Roman" w:hAnsi="Times New Roman" w:cs="Times New Roman"/>
              </w:rPr>
            </w:pPr>
            <w:r w:rsidRPr="00251906">
              <w:rPr>
                <w:rFonts w:ascii="Times New Roman" w:hAnsi="Times New Roman" w:cs="Times New Roman"/>
              </w:rPr>
              <w:t xml:space="preserve">Belastingverdrag dat aanwijst welke van de verdragsluitende staten bevoegd is om in overeenstemming met de nationale wetgeving belasting te heffen over het </w:t>
            </w:r>
            <w:r w:rsidRPr="00251906">
              <w:rPr>
                <w:rFonts w:ascii="Times New Roman" w:hAnsi="Times New Roman" w:cs="Times New Roman"/>
              </w:rPr>
              <w:lastRenderedPageBreak/>
              <w:t>inkomen van inwoners van één of van beide landen met daarbij ook maatregelen over onderling overleg, uitwisseling van gegevens en bijstand bij de invordering van belastingschulden.</w:t>
            </w:r>
          </w:p>
        </w:tc>
      </w:tr>
      <w:tr w:rsidRPr="00970EEE" w:rsidR="00C36763" w:rsidTr="00CB36B8" w14:paraId="466E1C4D" w14:textId="194A2F58">
        <w:trPr>
          <w:trHeight w:val="290"/>
        </w:trPr>
        <w:tc>
          <w:tcPr>
            <w:tcW w:w="862" w:type="pct"/>
            <w:shd w:val="clear" w:color="auto" w:fill="auto"/>
            <w:hideMark/>
          </w:tcPr>
          <w:p w:rsidRPr="00A33860" w:rsidR="00A33860" w:rsidP="00970EEE" w:rsidRDefault="00A33860" w14:paraId="2E52CF0F" w14:textId="77777777">
            <w:pPr>
              <w:spacing w:before="240"/>
              <w:rPr>
                <w:rFonts w:ascii="Times New Roman" w:hAnsi="Times New Roman" w:cs="Times New Roman"/>
                <w:b/>
                <w:bCs/>
              </w:rPr>
            </w:pPr>
            <w:r w:rsidRPr="00A33860">
              <w:rPr>
                <w:rFonts w:ascii="Times New Roman" w:hAnsi="Times New Roman" w:cs="Times New Roman"/>
                <w:b/>
                <w:bCs/>
              </w:rPr>
              <w:lastRenderedPageBreak/>
              <w:t>Infrastructuur en Waterstaat</w:t>
            </w:r>
          </w:p>
        </w:tc>
        <w:tc>
          <w:tcPr>
            <w:tcW w:w="965" w:type="pct"/>
            <w:shd w:val="clear" w:color="auto" w:fill="auto"/>
            <w:hideMark/>
          </w:tcPr>
          <w:p w:rsidRPr="00A33860" w:rsidR="00A33860" w:rsidP="00970EEE" w:rsidRDefault="00A33860" w14:paraId="39DE502F" w14:textId="77777777">
            <w:pPr>
              <w:spacing w:before="240"/>
              <w:rPr>
                <w:rFonts w:ascii="Times New Roman" w:hAnsi="Times New Roman" w:cs="Times New Roman"/>
              </w:rPr>
            </w:pPr>
            <w:r w:rsidRPr="00A33860">
              <w:rPr>
                <w:rFonts w:ascii="Times New Roman" w:hAnsi="Times New Roman" w:cs="Times New Roman"/>
              </w:rPr>
              <w:t>VN Plastic verdrag</w:t>
            </w:r>
          </w:p>
        </w:tc>
        <w:tc>
          <w:tcPr>
            <w:tcW w:w="1270" w:type="pct"/>
            <w:shd w:val="clear" w:color="auto" w:fill="auto"/>
            <w:hideMark/>
          </w:tcPr>
          <w:p w:rsidRPr="00A33860" w:rsidR="00A33860" w:rsidP="00970EEE" w:rsidRDefault="00A33860" w14:paraId="20B6FDD5" w14:textId="77777777">
            <w:pPr>
              <w:spacing w:before="240"/>
              <w:rPr>
                <w:rFonts w:ascii="Times New Roman" w:hAnsi="Times New Roman" w:cs="Times New Roman"/>
              </w:rPr>
            </w:pPr>
            <w:r w:rsidRPr="00A33860">
              <w:rPr>
                <w:rFonts w:ascii="Times New Roman" w:hAnsi="Times New Roman" w:cs="Times New Roman"/>
              </w:rPr>
              <w:t>VN (Verenigde Naties)</w:t>
            </w:r>
          </w:p>
        </w:tc>
        <w:tc>
          <w:tcPr>
            <w:tcW w:w="356" w:type="pct"/>
            <w:shd w:val="clear" w:color="auto" w:fill="auto"/>
            <w:hideMark/>
          </w:tcPr>
          <w:p w:rsidRPr="00A33860" w:rsidR="00A33860" w:rsidP="00970EEE" w:rsidRDefault="00A33860" w14:paraId="2734974B" w14:textId="77777777">
            <w:pPr>
              <w:spacing w:before="240"/>
              <w:rPr>
                <w:rFonts w:ascii="Times New Roman" w:hAnsi="Times New Roman" w:cs="Times New Roman"/>
              </w:rPr>
            </w:pPr>
            <w:r w:rsidRPr="00A33860">
              <w:rPr>
                <w:rFonts w:ascii="Times New Roman" w:hAnsi="Times New Roman" w:cs="Times New Roman"/>
              </w:rPr>
              <w:t>014193</w:t>
            </w:r>
          </w:p>
        </w:tc>
        <w:tc>
          <w:tcPr>
            <w:tcW w:w="1546" w:type="pct"/>
          </w:tcPr>
          <w:p w:rsidRPr="00970EEE" w:rsidR="00A33860" w:rsidP="00970EEE" w:rsidRDefault="00970EEE" w14:paraId="4E0706C7" w14:textId="28859A00">
            <w:pPr>
              <w:spacing w:before="240"/>
              <w:rPr>
                <w:rFonts w:ascii="Times New Roman" w:hAnsi="Times New Roman" w:cs="Times New Roman"/>
              </w:rPr>
            </w:pPr>
            <w:r w:rsidRPr="00970EEE">
              <w:rPr>
                <w:rFonts w:ascii="Times New Roman" w:hAnsi="Times New Roman" w:cs="Times New Roman"/>
              </w:rPr>
              <w:t xml:space="preserve">In 2022 hebben de </w:t>
            </w:r>
            <w:proofErr w:type="gramStart"/>
            <w:r w:rsidRPr="00970EEE">
              <w:rPr>
                <w:rFonts w:ascii="Times New Roman" w:hAnsi="Times New Roman" w:cs="Times New Roman"/>
              </w:rPr>
              <w:t>VN lidstaten</w:t>
            </w:r>
            <w:proofErr w:type="gramEnd"/>
            <w:r w:rsidRPr="00970EEE">
              <w:rPr>
                <w:rFonts w:ascii="Times New Roman" w:hAnsi="Times New Roman" w:cs="Times New Roman"/>
              </w:rPr>
              <w:t xml:space="preserve"> tijdens de hervatte vijfde sessie van de VN Milieuvergadering (UNEA-5.2) ingestemd met het initiëren van een mondiaal, juridisch bindend instrument ter beëindiging van plasticvervuiling, inclusief in het mariene milieu (UNEA resolutie 5/14). De resolutie vormt het mandaat voor de onderhandelingen voor een instrument dat: een mix van zowel vrijwillige als bindende maatregelen omvat voor het bevorderen van duurzame productie en consumptie van plastics, waaronder middels productontwerp en milieuverantwoord afvalbeheer, resource efficiëntie en circulaire economiebenaderingen, een instrument dat is gebaseerd op een alomvattende aanpak die de volledige levenscyclus van plastic </w:t>
            </w:r>
            <w:r w:rsidRPr="00970EEE">
              <w:rPr>
                <w:rFonts w:ascii="Times New Roman" w:hAnsi="Times New Roman" w:cs="Times New Roman"/>
              </w:rPr>
              <w:lastRenderedPageBreak/>
              <w:t xml:space="preserve">bestrijkt, en een instrument waarin afspraken worden gemaakt over rapportage, monitoring, review en naleving. Ook moet een mogelijk financieel mechanisme worden overwogen. Deze elementen zijn grotendeels in lijn met de prioriteiten van de EU en Nederland voor dit verdrag. De onderhandelingen vinden plaats in het Intergouvernementeel Onderhandelingscomité (INC) waarin alle </w:t>
            </w:r>
            <w:proofErr w:type="gramStart"/>
            <w:r w:rsidRPr="00970EEE">
              <w:rPr>
                <w:rFonts w:ascii="Times New Roman" w:hAnsi="Times New Roman" w:cs="Times New Roman"/>
              </w:rPr>
              <w:t>VN lidstaten</w:t>
            </w:r>
            <w:proofErr w:type="gramEnd"/>
            <w:r w:rsidRPr="00970EEE">
              <w:rPr>
                <w:rFonts w:ascii="Times New Roman" w:hAnsi="Times New Roman" w:cs="Times New Roman"/>
              </w:rPr>
              <w:t xml:space="preserve"> zijn vertegenwoordigd, met als doel te komen tot een verdragstekst die in een Diplomatieke Conferentie zal worden aangenomen.</w:t>
            </w:r>
          </w:p>
        </w:tc>
      </w:tr>
      <w:tr w:rsidRPr="00970EEE" w:rsidR="00C36763" w:rsidTr="00CB36B8" w14:paraId="439BC761" w14:textId="7D65A614">
        <w:trPr>
          <w:trHeight w:val="290"/>
        </w:trPr>
        <w:tc>
          <w:tcPr>
            <w:tcW w:w="862" w:type="pct"/>
            <w:shd w:val="clear" w:color="auto" w:fill="auto"/>
            <w:hideMark/>
          </w:tcPr>
          <w:p w:rsidRPr="00A33860" w:rsidR="00A33860" w:rsidP="00970EEE" w:rsidRDefault="00A33860" w14:paraId="094084A7" w14:textId="77777777">
            <w:pPr>
              <w:spacing w:before="240"/>
              <w:rPr>
                <w:rFonts w:ascii="Times New Roman" w:hAnsi="Times New Roman" w:cs="Times New Roman"/>
                <w:b/>
                <w:bCs/>
              </w:rPr>
            </w:pPr>
            <w:r w:rsidRPr="00A33860">
              <w:rPr>
                <w:rFonts w:ascii="Times New Roman" w:hAnsi="Times New Roman" w:cs="Times New Roman"/>
                <w:b/>
                <w:bCs/>
              </w:rPr>
              <w:lastRenderedPageBreak/>
              <w:t>Sociale Zaken en Werkgelegenheid</w:t>
            </w:r>
          </w:p>
        </w:tc>
        <w:tc>
          <w:tcPr>
            <w:tcW w:w="965" w:type="pct"/>
            <w:shd w:val="clear" w:color="auto" w:fill="auto"/>
            <w:hideMark/>
          </w:tcPr>
          <w:p w:rsidRPr="00217C99" w:rsidR="00217C99" w:rsidP="00217C99" w:rsidRDefault="00217C99" w14:paraId="7EE7FD22" w14:textId="77777777">
            <w:pPr>
              <w:spacing w:before="240"/>
              <w:rPr>
                <w:rFonts w:ascii="Times New Roman" w:hAnsi="Times New Roman" w:cs="Times New Roman"/>
              </w:rPr>
            </w:pPr>
            <w:r w:rsidRPr="00217C99">
              <w:rPr>
                <w:rFonts w:ascii="Times New Roman" w:hAnsi="Times New Roman" w:cs="Times New Roman"/>
              </w:rPr>
              <w:t xml:space="preserve">Verdrag </w:t>
            </w:r>
            <w:proofErr w:type="gramStart"/>
            <w:r w:rsidRPr="00217C99">
              <w:rPr>
                <w:rFonts w:ascii="Times New Roman" w:hAnsi="Times New Roman" w:cs="Times New Roman"/>
              </w:rPr>
              <w:t>inzake</w:t>
            </w:r>
            <w:proofErr w:type="gramEnd"/>
            <w:r w:rsidRPr="00217C99">
              <w:rPr>
                <w:rFonts w:ascii="Times New Roman" w:hAnsi="Times New Roman" w:cs="Times New Roman"/>
              </w:rPr>
              <w:t xml:space="preserve"> fatsoenlijk werk in de platformeconomie</w:t>
            </w:r>
          </w:p>
          <w:p w:rsidRPr="00217C99" w:rsidR="00A33860" w:rsidP="00970EEE" w:rsidRDefault="00A33860" w14:paraId="0B2DA382" w14:textId="0B7BE208">
            <w:pPr>
              <w:spacing w:before="240"/>
              <w:rPr>
                <w:rFonts w:ascii="Times New Roman" w:hAnsi="Times New Roman" w:cs="Times New Roman"/>
              </w:rPr>
            </w:pPr>
          </w:p>
        </w:tc>
        <w:tc>
          <w:tcPr>
            <w:tcW w:w="1270" w:type="pct"/>
            <w:shd w:val="clear" w:color="auto" w:fill="auto"/>
            <w:hideMark/>
          </w:tcPr>
          <w:p w:rsidRPr="00A33860" w:rsidR="00A33860" w:rsidP="00970EEE" w:rsidRDefault="00A33860" w14:paraId="70E6657A" w14:textId="77777777">
            <w:pPr>
              <w:spacing w:before="240"/>
              <w:rPr>
                <w:rFonts w:ascii="Times New Roman" w:hAnsi="Times New Roman" w:cs="Times New Roman"/>
              </w:rPr>
            </w:pPr>
            <w:r w:rsidRPr="00A33860">
              <w:rPr>
                <w:rFonts w:ascii="Times New Roman" w:hAnsi="Times New Roman" w:cs="Times New Roman"/>
              </w:rPr>
              <w:t>ILO (Internationale Arbeidsorganisatie)</w:t>
            </w:r>
          </w:p>
        </w:tc>
        <w:tc>
          <w:tcPr>
            <w:tcW w:w="356" w:type="pct"/>
            <w:shd w:val="clear" w:color="auto" w:fill="auto"/>
            <w:hideMark/>
          </w:tcPr>
          <w:p w:rsidRPr="00A33860" w:rsidR="00A33860" w:rsidP="00970EEE" w:rsidRDefault="00A33860" w14:paraId="51CFDC73" w14:textId="77777777">
            <w:pPr>
              <w:spacing w:before="240"/>
              <w:rPr>
                <w:rFonts w:ascii="Times New Roman" w:hAnsi="Times New Roman" w:cs="Times New Roman"/>
              </w:rPr>
            </w:pPr>
            <w:r w:rsidRPr="00A33860">
              <w:rPr>
                <w:rFonts w:ascii="Times New Roman" w:hAnsi="Times New Roman" w:cs="Times New Roman"/>
              </w:rPr>
              <w:t>014200</w:t>
            </w:r>
          </w:p>
        </w:tc>
        <w:tc>
          <w:tcPr>
            <w:tcW w:w="1546" w:type="pct"/>
          </w:tcPr>
          <w:p w:rsidRPr="00970EEE" w:rsidR="00A33860" w:rsidP="00970EEE" w:rsidRDefault="00D46C6F" w14:paraId="3FA1380A" w14:textId="7F8888A2">
            <w:pPr>
              <w:spacing w:before="240"/>
              <w:rPr>
                <w:rFonts w:ascii="Times New Roman" w:hAnsi="Times New Roman" w:cs="Times New Roman"/>
                <w:caps/>
              </w:rPr>
            </w:pPr>
            <w:r>
              <w:rPr>
                <w:rFonts w:ascii="Times New Roman" w:hAnsi="Times New Roman" w:cs="Times New Roman"/>
              </w:rPr>
              <w:t>I</w:t>
            </w:r>
            <w:r w:rsidRPr="00D46C6F">
              <w:rPr>
                <w:rFonts w:ascii="Times New Roman" w:hAnsi="Times New Roman" w:cs="Times New Roman"/>
              </w:rPr>
              <w:t xml:space="preserve">n 2025 heeft de </w:t>
            </w:r>
            <w:r>
              <w:rPr>
                <w:rFonts w:ascii="Times New Roman" w:hAnsi="Times New Roman" w:cs="Times New Roman"/>
              </w:rPr>
              <w:t>C</w:t>
            </w:r>
            <w:r w:rsidRPr="00D46C6F">
              <w:rPr>
                <w:rFonts w:ascii="Times New Roman" w:hAnsi="Times New Roman" w:cs="Times New Roman"/>
              </w:rPr>
              <w:t xml:space="preserve">onferentie van de </w:t>
            </w:r>
            <w:r>
              <w:rPr>
                <w:rFonts w:ascii="Times New Roman" w:hAnsi="Times New Roman" w:cs="Times New Roman"/>
              </w:rPr>
              <w:t>ILO</w:t>
            </w:r>
            <w:r w:rsidRPr="00D46C6F">
              <w:rPr>
                <w:rFonts w:ascii="Times New Roman" w:hAnsi="Times New Roman" w:cs="Times New Roman"/>
              </w:rPr>
              <w:t xml:space="preserve"> besloten dat er een verdrag en bijhorende aanbeveling dient te komen op het onderwerp fatsoenlijk werk in de platformeconomie. </w:t>
            </w:r>
            <w:r>
              <w:rPr>
                <w:rFonts w:ascii="Times New Roman" w:hAnsi="Times New Roman" w:cs="Times New Roman"/>
              </w:rPr>
              <w:t>H</w:t>
            </w:r>
            <w:r w:rsidRPr="00D46C6F">
              <w:rPr>
                <w:rFonts w:ascii="Times New Roman" w:hAnsi="Times New Roman" w:cs="Times New Roman"/>
              </w:rPr>
              <w:t xml:space="preserve">et verdrag heeft tot doel om fatsoenlijke arbeidsvoorwaarden en -omstandigheden te bevorderen voor werkenden in de platformeconomie. </w:t>
            </w:r>
            <w:r>
              <w:rPr>
                <w:rFonts w:ascii="Times New Roman" w:hAnsi="Times New Roman" w:cs="Times New Roman"/>
              </w:rPr>
              <w:t>N</w:t>
            </w:r>
            <w:r w:rsidRPr="00D46C6F">
              <w:rPr>
                <w:rFonts w:ascii="Times New Roman" w:hAnsi="Times New Roman" w:cs="Times New Roman"/>
              </w:rPr>
              <w:t xml:space="preserve">aast de huidige internationale arbeidsnormen die voor alle werkenden gelden acht de </w:t>
            </w:r>
            <w:r>
              <w:rPr>
                <w:rFonts w:ascii="Times New Roman" w:hAnsi="Times New Roman" w:cs="Times New Roman"/>
              </w:rPr>
              <w:lastRenderedPageBreak/>
              <w:t>ILO</w:t>
            </w:r>
            <w:r w:rsidRPr="00D46C6F">
              <w:rPr>
                <w:rFonts w:ascii="Times New Roman" w:hAnsi="Times New Roman" w:cs="Times New Roman"/>
              </w:rPr>
              <w:t xml:space="preserve"> het van belang dat deze normen worden aangevuld met nieuwe afspraken die rekening houden met de specifieke werkvormen van de platformeconomie.</w:t>
            </w:r>
          </w:p>
        </w:tc>
      </w:tr>
    </w:tbl>
    <w:p w:rsidRPr="00970EEE" w:rsidR="006C5EDC" w:rsidRDefault="006C5EDC" w14:paraId="67542C84" w14:textId="77777777">
      <w:pPr>
        <w:rPr>
          <w:rFonts w:ascii="Times New Roman" w:hAnsi="Times New Roman" w:cs="Times New Roman"/>
        </w:rPr>
      </w:pPr>
    </w:p>
    <w:p w:rsidRPr="00970EEE" w:rsidR="00970EEE" w:rsidRDefault="00970EEE" w14:paraId="6F496DF1" w14:textId="77777777">
      <w:pPr>
        <w:rPr>
          <w:rFonts w:ascii="Times New Roman" w:hAnsi="Times New Roman" w:cs="Times New Roman"/>
        </w:rPr>
      </w:pPr>
    </w:p>
    <w:p w:rsidR="00572972" w:rsidP="00D46C6F" w:rsidRDefault="00D46C6F" w14:paraId="6AD2151A" w14:textId="33EEB473">
      <w:pPr>
        <w:tabs>
          <w:tab w:val="left" w:pos="6236"/>
        </w:tabs>
        <w:rPr>
          <w:rFonts w:ascii="Times New Roman" w:hAnsi="Times New Roman" w:cs="Times New Roman"/>
        </w:rPr>
      </w:pPr>
      <w:r>
        <w:rPr>
          <w:rFonts w:ascii="Times New Roman" w:hAnsi="Times New Roman" w:cs="Times New Roman"/>
        </w:rPr>
        <w:tab/>
      </w:r>
    </w:p>
    <w:p w:rsidRPr="00970EEE" w:rsidR="00970EEE" w:rsidRDefault="00970EEE" w14:paraId="2D2A35FC" w14:textId="7503A243">
      <w:pPr>
        <w:rPr>
          <w:rFonts w:ascii="Times New Roman" w:hAnsi="Times New Roman" w:cs="Times New Roman"/>
        </w:rPr>
      </w:pPr>
      <w:r w:rsidRPr="00970EEE">
        <w:rPr>
          <w:rFonts w:ascii="Times New Roman" w:hAnsi="Times New Roman" w:cs="Times New Roman"/>
        </w:rPr>
        <w:t xml:space="preserve">Totaal: </w:t>
      </w:r>
      <w:r w:rsidR="00A53D27">
        <w:rPr>
          <w:rFonts w:ascii="Times New Roman" w:hAnsi="Times New Roman" w:cs="Times New Roman"/>
        </w:rPr>
        <w:t>1</w:t>
      </w:r>
      <w:r w:rsidR="00CB36B8">
        <w:rPr>
          <w:rFonts w:ascii="Times New Roman" w:hAnsi="Times New Roman" w:cs="Times New Roman"/>
        </w:rPr>
        <w:t>4</w:t>
      </w:r>
    </w:p>
    <w:sectPr w:rsidRPr="00970EEE" w:rsidR="00970EEE" w:rsidSect="00A33860">
      <w:headerReference w:type="default" r:id="rId6"/>
      <w:footerReference w:type="default" r:id="rId7"/>
      <w:pgSz w:w="16838" w:h="11906" w:orient="landscape"/>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9CCF1" w14:textId="77777777" w:rsidR="008C0869" w:rsidRDefault="008C0869" w:rsidP="00A33860">
      <w:pPr>
        <w:spacing w:after="0" w:line="240" w:lineRule="auto"/>
      </w:pPr>
      <w:r>
        <w:separator/>
      </w:r>
    </w:p>
  </w:endnote>
  <w:endnote w:type="continuationSeparator" w:id="0">
    <w:p w14:paraId="18B78232" w14:textId="77777777" w:rsidR="008C0869" w:rsidRDefault="008C0869" w:rsidP="00A33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8805008"/>
      <w:docPartObj>
        <w:docPartGallery w:val="Page Numbers (Bottom of Page)"/>
        <w:docPartUnique/>
      </w:docPartObj>
    </w:sdtPr>
    <w:sdtEndPr>
      <w:rPr>
        <w:rFonts w:ascii="Times New Roman" w:hAnsi="Times New Roman" w:cs="Times New Roman"/>
        <w:sz w:val="20"/>
        <w:szCs w:val="20"/>
      </w:rPr>
    </w:sdtEndPr>
    <w:sdtContent>
      <w:p w14:paraId="2EE9151D" w14:textId="112C485A" w:rsidR="007C4846" w:rsidRPr="007C4846" w:rsidRDefault="007C4846">
        <w:pPr>
          <w:pStyle w:val="Voettekst"/>
          <w:jc w:val="center"/>
          <w:rPr>
            <w:rFonts w:ascii="Times New Roman" w:hAnsi="Times New Roman" w:cs="Times New Roman"/>
            <w:sz w:val="20"/>
            <w:szCs w:val="20"/>
          </w:rPr>
        </w:pPr>
        <w:r w:rsidRPr="007C4846">
          <w:rPr>
            <w:rFonts w:ascii="Times New Roman" w:hAnsi="Times New Roman" w:cs="Times New Roman"/>
            <w:sz w:val="20"/>
            <w:szCs w:val="20"/>
          </w:rPr>
          <w:fldChar w:fldCharType="begin"/>
        </w:r>
        <w:r w:rsidRPr="007C4846">
          <w:rPr>
            <w:rFonts w:ascii="Times New Roman" w:hAnsi="Times New Roman" w:cs="Times New Roman"/>
            <w:sz w:val="20"/>
            <w:szCs w:val="20"/>
          </w:rPr>
          <w:instrText>PAGE   \* MERGEFORMAT</w:instrText>
        </w:r>
        <w:r w:rsidRPr="007C4846">
          <w:rPr>
            <w:rFonts w:ascii="Times New Roman" w:hAnsi="Times New Roman" w:cs="Times New Roman"/>
            <w:sz w:val="20"/>
            <w:szCs w:val="20"/>
          </w:rPr>
          <w:fldChar w:fldCharType="separate"/>
        </w:r>
        <w:r w:rsidRPr="007C4846">
          <w:rPr>
            <w:rFonts w:ascii="Times New Roman" w:hAnsi="Times New Roman" w:cs="Times New Roman"/>
            <w:sz w:val="20"/>
            <w:szCs w:val="20"/>
          </w:rPr>
          <w:t>2</w:t>
        </w:r>
        <w:r w:rsidRPr="007C4846">
          <w:rPr>
            <w:rFonts w:ascii="Times New Roman" w:hAnsi="Times New Roman" w:cs="Times New Roman"/>
            <w:sz w:val="20"/>
            <w:szCs w:val="20"/>
          </w:rPr>
          <w:fldChar w:fldCharType="end"/>
        </w:r>
      </w:p>
    </w:sdtContent>
  </w:sdt>
  <w:p w14:paraId="1CA4E9D2" w14:textId="77777777" w:rsidR="007C4846" w:rsidRDefault="007C48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2D187" w14:textId="77777777" w:rsidR="008C0869" w:rsidRDefault="008C0869" w:rsidP="00A33860">
      <w:pPr>
        <w:spacing w:after="0" w:line="240" w:lineRule="auto"/>
      </w:pPr>
      <w:r>
        <w:separator/>
      </w:r>
    </w:p>
  </w:footnote>
  <w:footnote w:type="continuationSeparator" w:id="0">
    <w:p w14:paraId="11913D84" w14:textId="77777777" w:rsidR="008C0869" w:rsidRDefault="008C0869" w:rsidP="00A33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E42D9" w14:textId="2C53FFDB" w:rsidR="00A33860" w:rsidRDefault="00A33860" w:rsidP="00A33860">
    <w:pPr>
      <w:spacing w:line="256" w:lineRule="auto"/>
      <w:jc w:val="right"/>
      <w:rPr>
        <w:rFonts w:ascii="Times New Roman" w:eastAsia="Times New Roman" w:hAnsi="Times New Roman" w:cs="Times New Roman"/>
        <w:b/>
        <w:kern w:val="0"/>
        <w:sz w:val="20"/>
        <w:szCs w:val="22"/>
        <w14:ligatures w14:val="none"/>
      </w:rPr>
    </w:pPr>
    <w:r>
      <w:rPr>
        <w:rFonts w:ascii="Times New Roman" w:eastAsia="Times New Roman" w:hAnsi="Times New Roman" w:cs="Times New Roman"/>
        <w:b/>
        <w:kern w:val="0"/>
        <w:sz w:val="20"/>
        <w:szCs w:val="22"/>
        <w14:ligatures w14:val="none"/>
      </w:rPr>
      <w:t>Bijlage 1</w:t>
    </w:r>
  </w:p>
  <w:p w14:paraId="529C2144" w14:textId="1F43D425" w:rsidR="00A33860" w:rsidRDefault="00A33860" w:rsidP="00A33860">
    <w:pPr>
      <w:spacing w:line="256" w:lineRule="auto"/>
      <w:rPr>
        <w:rFonts w:ascii="Times New Roman" w:eastAsia="Times New Roman" w:hAnsi="Times New Roman" w:cs="Times New Roman"/>
        <w:b/>
        <w:kern w:val="0"/>
        <w:sz w:val="20"/>
        <w:szCs w:val="22"/>
        <w14:ligatures w14:val="none"/>
      </w:rPr>
    </w:pPr>
    <w:r w:rsidRPr="00A33860">
      <w:rPr>
        <w:rFonts w:ascii="Times New Roman" w:eastAsia="Times New Roman" w:hAnsi="Times New Roman" w:cs="Times New Roman"/>
        <w:b/>
        <w:kern w:val="0"/>
        <w:sz w:val="20"/>
        <w:szCs w:val="22"/>
        <w14:ligatures w14:val="none"/>
      </w:rPr>
      <w:t xml:space="preserve">Overzicht van </w:t>
    </w:r>
    <w:proofErr w:type="spellStart"/>
    <w:r w:rsidRPr="00A33860">
      <w:rPr>
        <w:rFonts w:ascii="Times New Roman" w:eastAsia="Times New Roman" w:hAnsi="Times New Roman" w:cs="Times New Roman"/>
        <w:b/>
        <w:kern w:val="0"/>
        <w:sz w:val="20"/>
        <w:szCs w:val="22"/>
        <w14:ligatures w14:val="none"/>
      </w:rPr>
      <w:t>ontwerp-verdragen</w:t>
    </w:r>
    <w:proofErr w:type="spellEnd"/>
    <w:r w:rsidRPr="00A33860">
      <w:rPr>
        <w:rFonts w:ascii="Times New Roman" w:eastAsia="Times New Roman" w:hAnsi="Times New Roman" w:cs="Times New Roman"/>
        <w:b/>
        <w:kern w:val="0"/>
        <w:sz w:val="20"/>
        <w:szCs w:val="22"/>
        <w14:ligatures w14:val="none"/>
      </w:rPr>
      <w:t xml:space="preserve"> per 1 oktober 2025 die vergeleken met de lijst van 1 juli 2025 (Kamerstukken II 2024/2025, 23530, 151) NIEUW zijn op de lijst; *= politiek belangrijk</w:t>
    </w:r>
  </w:p>
  <w:p w14:paraId="7C589B93" w14:textId="08DC8D35" w:rsidR="007C4846" w:rsidRPr="007C4846" w:rsidRDefault="00A33860" w:rsidP="00A33860">
    <w:pPr>
      <w:spacing w:line="256" w:lineRule="auto"/>
      <w:rPr>
        <w:rFonts w:ascii="Times New Roman" w:eastAsia="Times New Roman" w:hAnsi="Times New Roman" w:cs="Times New Roman"/>
        <w:b/>
        <w:kern w:val="0"/>
        <w:sz w:val="20"/>
        <w:szCs w:val="22"/>
        <w14:ligatures w14:val="none"/>
      </w:rPr>
    </w:pPr>
    <w:r>
      <w:rPr>
        <w:rFonts w:ascii="Times New Roman" w:eastAsia="Times New Roman" w:hAnsi="Times New Roman" w:cs="Times New Roman"/>
        <w:b/>
        <w:kern w:val="0"/>
        <w:sz w:val="20"/>
        <w:szCs w:val="22"/>
        <w14:ligatures w14:val="none"/>
      </w:rPr>
      <w:t xml:space="preserve">Ministerie </w:t>
    </w:r>
    <w:r>
      <w:rPr>
        <w:rFonts w:ascii="Times New Roman" w:eastAsia="Times New Roman" w:hAnsi="Times New Roman" w:cs="Times New Roman"/>
        <w:b/>
        <w:kern w:val="0"/>
        <w:sz w:val="20"/>
        <w:szCs w:val="22"/>
        <w14:ligatures w14:val="none"/>
      </w:rPr>
      <w:tab/>
    </w:r>
    <w:r>
      <w:rPr>
        <w:rFonts w:ascii="Times New Roman" w:eastAsia="Times New Roman" w:hAnsi="Times New Roman" w:cs="Times New Roman"/>
        <w:b/>
        <w:kern w:val="0"/>
        <w:sz w:val="20"/>
        <w:szCs w:val="22"/>
        <w14:ligatures w14:val="none"/>
      </w:rPr>
      <w:tab/>
    </w:r>
    <w:r w:rsidR="00D46C6F">
      <w:rPr>
        <w:rFonts w:ascii="Times New Roman" w:eastAsia="Times New Roman" w:hAnsi="Times New Roman" w:cs="Times New Roman"/>
        <w:b/>
        <w:kern w:val="0"/>
        <w:sz w:val="20"/>
        <w:szCs w:val="22"/>
        <w14:ligatures w14:val="none"/>
      </w:rPr>
      <w:t xml:space="preserve">       </w:t>
    </w:r>
    <w:r>
      <w:rPr>
        <w:rFonts w:ascii="Times New Roman" w:eastAsia="Times New Roman" w:hAnsi="Times New Roman" w:cs="Times New Roman"/>
        <w:b/>
        <w:kern w:val="0"/>
        <w:sz w:val="20"/>
        <w:szCs w:val="22"/>
        <w14:ligatures w14:val="none"/>
      </w:rPr>
      <w:t xml:space="preserve">Onderwerp verdrag </w:t>
    </w:r>
    <w:r>
      <w:rPr>
        <w:rFonts w:ascii="Times New Roman" w:eastAsia="Times New Roman" w:hAnsi="Times New Roman" w:cs="Times New Roman"/>
        <w:b/>
        <w:kern w:val="0"/>
        <w:sz w:val="20"/>
        <w:szCs w:val="22"/>
        <w14:ligatures w14:val="none"/>
      </w:rPr>
      <w:tab/>
    </w:r>
    <w:r>
      <w:rPr>
        <w:rFonts w:ascii="Times New Roman" w:eastAsia="Times New Roman" w:hAnsi="Times New Roman" w:cs="Times New Roman"/>
        <w:b/>
        <w:kern w:val="0"/>
        <w:sz w:val="20"/>
        <w:szCs w:val="22"/>
        <w14:ligatures w14:val="none"/>
      </w:rPr>
      <w:tab/>
    </w:r>
    <w:r w:rsidR="00D46C6F">
      <w:rPr>
        <w:rFonts w:ascii="Times New Roman" w:eastAsia="Times New Roman" w:hAnsi="Times New Roman" w:cs="Times New Roman"/>
        <w:b/>
        <w:kern w:val="0"/>
        <w:sz w:val="20"/>
        <w:szCs w:val="22"/>
        <w14:ligatures w14:val="none"/>
      </w:rPr>
      <w:t xml:space="preserve">    </w:t>
    </w:r>
    <w:r>
      <w:rPr>
        <w:rFonts w:ascii="Times New Roman" w:eastAsia="Times New Roman" w:hAnsi="Times New Roman" w:cs="Times New Roman"/>
        <w:b/>
        <w:kern w:val="0"/>
        <w:sz w:val="20"/>
        <w:szCs w:val="22"/>
        <w14:ligatures w14:val="none"/>
      </w:rPr>
      <w:t xml:space="preserve">Land/ organisatie </w:t>
    </w:r>
    <w:r>
      <w:rPr>
        <w:rFonts w:ascii="Times New Roman" w:eastAsia="Times New Roman" w:hAnsi="Times New Roman" w:cs="Times New Roman"/>
        <w:b/>
        <w:kern w:val="0"/>
        <w:sz w:val="20"/>
        <w:szCs w:val="22"/>
        <w14:ligatures w14:val="none"/>
      </w:rPr>
      <w:tab/>
    </w:r>
    <w:r w:rsidR="00D46C6F">
      <w:rPr>
        <w:rFonts w:ascii="Times New Roman" w:eastAsia="Times New Roman" w:hAnsi="Times New Roman" w:cs="Times New Roman"/>
        <w:b/>
        <w:kern w:val="0"/>
        <w:sz w:val="20"/>
        <w:szCs w:val="22"/>
        <w14:ligatures w14:val="none"/>
      </w:rPr>
      <w:t xml:space="preserve">  </w:t>
    </w:r>
    <w:r w:rsidR="00C36763">
      <w:rPr>
        <w:rFonts w:ascii="Times New Roman" w:eastAsia="Times New Roman" w:hAnsi="Times New Roman" w:cs="Times New Roman"/>
        <w:b/>
        <w:kern w:val="0"/>
        <w:sz w:val="20"/>
        <w:szCs w:val="22"/>
        <w14:ligatures w14:val="none"/>
      </w:rPr>
      <w:t xml:space="preserve">                             </w:t>
    </w:r>
    <w:r>
      <w:rPr>
        <w:rFonts w:ascii="Times New Roman" w:eastAsia="Times New Roman" w:hAnsi="Times New Roman" w:cs="Times New Roman"/>
        <w:b/>
        <w:kern w:val="0"/>
        <w:sz w:val="20"/>
        <w:szCs w:val="22"/>
        <w14:ligatures w14:val="none"/>
      </w:rPr>
      <w:t>Ref. nr.</w:t>
    </w:r>
    <w:r w:rsidR="00D46C6F">
      <w:rPr>
        <w:rFonts w:ascii="Times New Roman" w:eastAsia="Times New Roman" w:hAnsi="Times New Roman" w:cs="Times New Roman"/>
        <w:b/>
        <w:kern w:val="0"/>
        <w:sz w:val="20"/>
        <w:szCs w:val="22"/>
        <w14:ligatures w14:val="none"/>
      </w:rPr>
      <w:t xml:space="preserve">       </w:t>
    </w:r>
    <w:r w:rsidR="00C36763">
      <w:rPr>
        <w:rFonts w:ascii="Times New Roman" w:eastAsia="Times New Roman" w:hAnsi="Times New Roman" w:cs="Times New Roman"/>
        <w:b/>
        <w:kern w:val="0"/>
        <w:sz w:val="20"/>
        <w:szCs w:val="22"/>
        <w14:ligatures w14:val="none"/>
      </w:rPr>
      <w:t xml:space="preserve">   </w:t>
    </w:r>
    <w:r>
      <w:rPr>
        <w:rFonts w:ascii="Times New Roman" w:eastAsia="Times New Roman" w:hAnsi="Times New Roman" w:cs="Times New Roman"/>
        <w:b/>
        <w:kern w:val="0"/>
        <w:sz w:val="20"/>
        <w:szCs w:val="22"/>
        <w14:ligatures w14:val="none"/>
      </w:rPr>
      <w:t>Doel/ inhoud/ strekking verdrag (samenvatting)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860"/>
    <w:rsid w:val="0002385F"/>
    <w:rsid w:val="00075920"/>
    <w:rsid w:val="000C5BE2"/>
    <w:rsid w:val="000F24D6"/>
    <w:rsid w:val="00211E63"/>
    <w:rsid w:val="00217C99"/>
    <w:rsid w:val="00225619"/>
    <w:rsid w:val="00236F53"/>
    <w:rsid w:val="00251906"/>
    <w:rsid w:val="00265E2A"/>
    <w:rsid w:val="00272AB3"/>
    <w:rsid w:val="0029768A"/>
    <w:rsid w:val="002B151B"/>
    <w:rsid w:val="00367C2C"/>
    <w:rsid w:val="004933C6"/>
    <w:rsid w:val="00537884"/>
    <w:rsid w:val="00572972"/>
    <w:rsid w:val="006B3DEB"/>
    <w:rsid w:val="006C5EDC"/>
    <w:rsid w:val="006D319C"/>
    <w:rsid w:val="007230F1"/>
    <w:rsid w:val="00751B8B"/>
    <w:rsid w:val="007A30EA"/>
    <w:rsid w:val="007C4846"/>
    <w:rsid w:val="007E3C3D"/>
    <w:rsid w:val="0080240A"/>
    <w:rsid w:val="00834C40"/>
    <w:rsid w:val="008C0869"/>
    <w:rsid w:val="00970EEE"/>
    <w:rsid w:val="00A33860"/>
    <w:rsid w:val="00A44D01"/>
    <w:rsid w:val="00A53D27"/>
    <w:rsid w:val="00AC7B61"/>
    <w:rsid w:val="00C36763"/>
    <w:rsid w:val="00C57751"/>
    <w:rsid w:val="00C92CDF"/>
    <w:rsid w:val="00CB36B8"/>
    <w:rsid w:val="00D449A3"/>
    <w:rsid w:val="00D45895"/>
    <w:rsid w:val="00D46C6F"/>
    <w:rsid w:val="00D81633"/>
    <w:rsid w:val="00DA6FA8"/>
    <w:rsid w:val="00DF4DD5"/>
    <w:rsid w:val="00EA0657"/>
    <w:rsid w:val="00EF2AE7"/>
    <w:rsid w:val="00FF32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04E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3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3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A338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38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38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38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38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38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38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38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38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A338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38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38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38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38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38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3860"/>
    <w:rPr>
      <w:rFonts w:eastAsiaTheme="majorEastAsia" w:cstheme="majorBidi"/>
      <w:color w:val="272727" w:themeColor="text1" w:themeTint="D8"/>
    </w:rPr>
  </w:style>
  <w:style w:type="paragraph" w:styleId="Titel">
    <w:name w:val="Title"/>
    <w:basedOn w:val="Standaard"/>
    <w:next w:val="Standaard"/>
    <w:link w:val="TitelChar"/>
    <w:uiPriority w:val="10"/>
    <w:qFormat/>
    <w:rsid w:val="00A33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38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38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38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38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3860"/>
    <w:rPr>
      <w:i/>
      <w:iCs/>
      <w:color w:val="404040" w:themeColor="text1" w:themeTint="BF"/>
    </w:rPr>
  </w:style>
  <w:style w:type="paragraph" w:styleId="Lijstalinea">
    <w:name w:val="List Paragraph"/>
    <w:basedOn w:val="Standaard"/>
    <w:uiPriority w:val="34"/>
    <w:qFormat/>
    <w:rsid w:val="00A33860"/>
    <w:pPr>
      <w:ind w:left="720"/>
      <w:contextualSpacing/>
    </w:pPr>
  </w:style>
  <w:style w:type="character" w:styleId="Intensievebenadrukking">
    <w:name w:val="Intense Emphasis"/>
    <w:basedOn w:val="Standaardalinea-lettertype"/>
    <w:uiPriority w:val="21"/>
    <w:qFormat/>
    <w:rsid w:val="00A33860"/>
    <w:rPr>
      <w:i/>
      <w:iCs/>
      <w:color w:val="0F4761" w:themeColor="accent1" w:themeShade="BF"/>
    </w:rPr>
  </w:style>
  <w:style w:type="paragraph" w:styleId="Duidelijkcitaat">
    <w:name w:val="Intense Quote"/>
    <w:basedOn w:val="Standaard"/>
    <w:next w:val="Standaard"/>
    <w:link w:val="DuidelijkcitaatChar"/>
    <w:uiPriority w:val="30"/>
    <w:qFormat/>
    <w:rsid w:val="00A33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3860"/>
    <w:rPr>
      <w:i/>
      <w:iCs/>
      <w:color w:val="0F4761" w:themeColor="accent1" w:themeShade="BF"/>
    </w:rPr>
  </w:style>
  <w:style w:type="character" w:styleId="Intensieveverwijzing">
    <w:name w:val="Intense Reference"/>
    <w:basedOn w:val="Standaardalinea-lettertype"/>
    <w:uiPriority w:val="32"/>
    <w:qFormat/>
    <w:rsid w:val="00A33860"/>
    <w:rPr>
      <w:b/>
      <w:bCs/>
      <w:smallCaps/>
      <w:color w:val="0F4761" w:themeColor="accent1" w:themeShade="BF"/>
      <w:spacing w:val="5"/>
    </w:rPr>
  </w:style>
  <w:style w:type="paragraph" w:styleId="Koptekst">
    <w:name w:val="header"/>
    <w:basedOn w:val="Standaard"/>
    <w:link w:val="KoptekstChar"/>
    <w:uiPriority w:val="99"/>
    <w:unhideWhenUsed/>
    <w:rsid w:val="00A33860"/>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A33860"/>
  </w:style>
  <w:style w:type="paragraph" w:styleId="Voettekst">
    <w:name w:val="footer"/>
    <w:basedOn w:val="Standaard"/>
    <w:link w:val="VoettekstChar"/>
    <w:uiPriority w:val="99"/>
    <w:unhideWhenUsed/>
    <w:rsid w:val="00A33860"/>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A33860"/>
  </w:style>
  <w:style w:type="character" w:styleId="Verwijzingopmerking">
    <w:name w:val="annotation reference"/>
    <w:basedOn w:val="Standaardalinea-lettertype"/>
    <w:uiPriority w:val="99"/>
    <w:semiHidden/>
    <w:unhideWhenUsed/>
    <w:rsid w:val="00DA6FA8"/>
    <w:rPr>
      <w:sz w:val="16"/>
      <w:szCs w:val="16"/>
    </w:rPr>
  </w:style>
  <w:style w:type="paragraph" w:styleId="Tekstopmerking">
    <w:name w:val="annotation text"/>
    <w:basedOn w:val="Standaard"/>
    <w:link w:val="TekstopmerkingChar"/>
    <w:uiPriority w:val="99"/>
    <w:unhideWhenUsed/>
    <w:rsid w:val="00DA6FA8"/>
    <w:pPr>
      <w:spacing w:line="240" w:lineRule="auto"/>
    </w:pPr>
    <w:rPr>
      <w:sz w:val="20"/>
      <w:szCs w:val="20"/>
    </w:rPr>
  </w:style>
  <w:style w:type="character" w:customStyle="1" w:styleId="TekstopmerkingChar">
    <w:name w:val="Tekst opmerking Char"/>
    <w:basedOn w:val="Standaardalinea-lettertype"/>
    <w:link w:val="Tekstopmerking"/>
    <w:uiPriority w:val="99"/>
    <w:rsid w:val="00DA6FA8"/>
    <w:rPr>
      <w:sz w:val="20"/>
      <w:szCs w:val="20"/>
    </w:rPr>
  </w:style>
  <w:style w:type="paragraph" w:styleId="Onderwerpvanopmerking">
    <w:name w:val="annotation subject"/>
    <w:basedOn w:val="Tekstopmerking"/>
    <w:next w:val="Tekstopmerking"/>
    <w:link w:val="OnderwerpvanopmerkingChar"/>
    <w:uiPriority w:val="99"/>
    <w:semiHidden/>
    <w:unhideWhenUsed/>
    <w:rsid w:val="00DA6FA8"/>
    <w:rPr>
      <w:b/>
      <w:bCs/>
    </w:rPr>
  </w:style>
  <w:style w:type="character" w:customStyle="1" w:styleId="OnderwerpvanopmerkingChar">
    <w:name w:val="Onderwerp van opmerking Char"/>
    <w:basedOn w:val="TekstopmerkingChar"/>
    <w:link w:val="Onderwerpvanopmerking"/>
    <w:uiPriority w:val="99"/>
    <w:semiHidden/>
    <w:rsid w:val="00DA6F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65803">
      <w:bodyDiv w:val="1"/>
      <w:marLeft w:val="0"/>
      <w:marRight w:val="0"/>
      <w:marTop w:val="0"/>
      <w:marBottom w:val="0"/>
      <w:divBdr>
        <w:top w:val="none" w:sz="0" w:space="0" w:color="auto"/>
        <w:left w:val="none" w:sz="0" w:space="0" w:color="auto"/>
        <w:bottom w:val="none" w:sz="0" w:space="0" w:color="auto"/>
        <w:right w:val="none" w:sz="0" w:space="0" w:color="auto"/>
      </w:divBdr>
    </w:div>
    <w:div w:id="207108680">
      <w:bodyDiv w:val="1"/>
      <w:marLeft w:val="0"/>
      <w:marRight w:val="0"/>
      <w:marTop w:val="0"/>
      <w:marBottom w:val="0"/>
      <w:divBdr>
        <w:top w:val="none" w:sz="0" w:space="0" w:color="auto"/>
        <w:left w:val="none" w:sz="0" w:space="0" w:color="auto"/>
        <w:bottom w:val="none" w:sz="0" w:space="0" w:color="auto"/>
        <w:right w:val="none" w:sz="0" w:space="0" w:color="auto"/>
      </w:divBdr>
    </w:div>
    <w:div w:id="278607939">
      <w:bodyDiv w:val="1"/>
      <w:marLeft w:val="0"/>
      <w:marRight w:val="0"/>
      <w:marTop w:val="0"/>
      <w:marBottom w:val="0"/>
      <w:divBdr>
        <w:top w:val="none" w:sz="0" w:space="0" w:color="auto"/>
        <w:left w:val="none" w:sz="0" w:space="0" w:color="auto"/>
        <w:bottom w:val="none" w:sz="0" w:space="0" w:color="auto"/>
        <w:right w:val="none" w:sz="0" w:space="0" w:color="auto"/>
      </w:divBdr>
    </w:div>
    <w:div w:id="381254421">
      <w:bodyDiv w:val="1"/>
      <w:marLeft w:val="0"/>
      <w:marRight w:val="0"/>
      <w:marTop w:val="0"/>
      <w:marBottom w:val="0"/>
      <w:divBdr>
        <w:top w:val="none" w:sz="0" w:space="0" w:color="auto"/>
        <w:left w:val="none" w:sz="0" w:space="0" w:color="auto"/>
        <w:bottom w:val="none" w:sz="0" w:space="0" w:color="auto"/>
        <w:right w:val="none" w:sz="0" w:space="0" w:color="auto"/>
      </w:divBdr>
    </w:div>
    <w:div w:id="446240494">
      <w:bodyDiv w:val="1"/>
      <w:marLeft w:val="0"/>
      <w:marRight w:val="0"/>
      <w:marTop w:val="0"/>
      <w:marBottom w:val="0"/>
      <w:divBdr>
        <w:top w:val="none" w:sz="0" w:space="0" w:color="auto"/>
        <w:left w:val="none" w:sz="0" w:space="0" w:color="auto"/>
        <w:bottom w:val="none" w:sz="0" w:space="0" w:color="auto"/>
        <w:right w:val="none" w:sz="0" w:space="0" w:color="auto"/>
      </w:divBdr>
    </w:div>
    <w:div w:id="612134828">
      <w:bodyDiv w:val="1"/>
      <w:marLeft w:val="0"/>
      <w:marRight w:val="0"/>
      <w:marTop w:val="0"/>
      <w:marBottom w:val="0"/>
      <w:divBdr>
        <w:top w:val="none" w:sz="0" w:space="0" w:color="auto"/>
        <w:left w:val="none" w:sz="0" w:space="0" w:color="auto"/>
        <w:bottom w:val="none" w:sz="0" w:space="0" w:color="auto"/>
        <w:right w:val="none" w:sz="0" w:space="0" w:color="auto"/>
      </w:divBdr>
    </w:div>
    <w:div w:id="719939315">
      <w:bodyDiv w:val="1"/>
      <w:marLeft w:val="0"/>
      <w:marRight w:val="0"/>
      <w:marTop w:val="0"/>
      <w:marBottom w:val="0"/>
      <w:divBdr>
        <w:top w:val="none" w:sz="0" w:space="0" w:color="auto"/>
        <w:left w:val="none" w:sz="0" w:space="0" w:color="auto"/>
        <w:bottom w:val="none" w:sz="0" w:space="0" w:color="auto"/>
        <w:right w:val="none" w:sz="0" w:space="0" w:color="auto"/>
      </w:divBdr>
    </w:div>
    <w:div w:id="786049212">
      <w:bodyDiv w:val="1"/>
      <w:marLeft w:val="0"/>
      <w:marRight w:val="0"/>
      <w:marTop w:val="0"/>
      <w:marBottom w:val="0"/>
      <w:divBdr>
        <w:top w:val="none" w:sz="0" w:space="0" w:color="auto"/>
        <w:left w:val="none" w:sz="0" w:space="0" w:color="auto"/>
        <w:bottom w:val="none" w:sz="0" w:space="0" w:color="auto"/>
        <w:right w:val="none" w:sz="0" w:space="0" w:color="auto"/>
      </w:divBdr>
    </w:div>
    <w:div w:id="1014721481">
      <w:bodyDiv w:val="1"/>
      <w:marLeft w:val="0"/>
      <w:marRight w:val="0"/>
      <w:marTop w:val="0"/>
      <w:marBottom w:val="0"/>
      <w:divBdr>
        <w:top w:val="none" w:sz="0" w:space="0" w:color="auto"/>
        <w:left w:val="none" w:sz="0" w:space="0" w:color="auto"/>
        <w:bottom w:val="none" w:sz="0" w:space="0" w:color="auto"/>
        <w:right w:val="none" w:sz="0" w:space="0" w:color="auto"/>
      </w:divBdr>
    </w:div>
    <w:div w:id="1187910352">
      <w:bodyDiv w:val="1"/>
      <w:marLeft w:val="0"/>
      <w:marRight w:val="0"/>
      <w:marTop w:val="0"/>
      <w:marBottom w:val="0"/>
      <w:divBdr>
        <w:top w:val="none" w:sz="0" w:space="0" w:color="auto"/>
        <w:left w:val="none" w:sz="0" w:space="0" w:color="auto"/>
        <w:bottom w:val="none" w:sz="0" w:space="0" w:color="auto"/>
        <w:right w:val="none" w:sz="0" w:space="0" w:color="auto"/>
      </w:divBdr>
    </w:div>
    <w:div w:id="1228027609">
      <w:bodyDiv w:val="1"/>
      <w:marLeft w:val="0"/>
      <w:marRight w:val="0"/>
      <w:marTop w:val="0"/>
      <w:marBottom w:val="0"/>
      <w:divBdr>
        <w:top w:val="none" w:sz="0" w:space="0" w:color="auto"/>
        <w:left w:val="none" w:sz="0" w:space="0" w:color="auto"/>
        <w:bottom w:val="none" w:sz="0" w:space="0" w:color="auto"/>
        <w:right w:val="none" w:sz="0" w:space="0" w:color="auto"/>
      </w:divBdr>
    </w:div>
    <w:div w:id="1293973252">
      <w:bodyDiv w:val="1"/>
      <w:marLeft w:val="0"/>
      <w:marRight w:val="0"/>
      <w:marTop w:val="0"/>
      <w:marBottom w:val="0"/>
      <w:divBdr>
        <w:top w:val="none" w:sz="0" w:space="0" w:color="auto"/>
        <w:left w:val="none" w:sz="0" w:space="0" w:color="auto"/>
        <w:bottom w:val="none" w:sz="0" w:space="0" w:color="auto"/>
        <w:right w:val="none" w:sz="0" w:space="0" w:color="auto"/>
      </w:divBdr>
    </w:div>
    <w:div w:id="1767310356">
      <w:bodyDiv w:val="1"/>
      <w:marLeft w:val="0"/>
      <w:marRight w:val="0"/>
      <w:marTop w:val="0"/>
      <w:marBottom w:val="0"/>
      <w:divBdr>
        <w:top w:val="none" w:sz="0" w:space="0" w:color="auto"/>
        <w:left w:val="none" w:sz="0" w:space="0" w:color="auto"/>
        <w:bottom w:val="none" w:sz="0" w:space="0" w:color="auto"/>
        <w:right w:val="none" w:sz="0" w:space="0" w:color="auto"/>
      </w:divBdr>
    </w:div>
    <w:div w:id="1844321508">
      <w:bodyDiv w:val="1"/>
      <w:marLeft w:val="0"/>
      <w:marRight w:val="0"/>
      <w:marTop w:val="0"/>
      <w:marBottom w:val="0"/>
      <w:divBdr>
        <w:top w:val="none" w:sz="0" w:space="0" w:color="auto"/>
        <w:left w:val="none" w:sz="0" w:space="0" w:color="auto"/>
        <w:bottom w:val="none" w:sz="0" w:space="0" w:color="auto"/>
        <w:right w:val="none" w:sz="0" w:space="0" w:color="auto"/>
      </w:divBdr>
    </w:div>
    <w:div w:id="1887985916">
      <w:bodyDiv w:val="1"/>
      <w:marLeft w:val="0"/>
      <w:marRight w:val="0"/>
      <w:marTop w:val="0"/>
      <w:marBottom w:val="0"/>
      <w:divBdr>
        <w:top w:val="none" w:sz="0" w:space="0" w:color="auto"/>
        <w:left w:val="none" w:sz="0" w:space="0" w:color="auto"/>
        <w:bottom w:val="none" w:sz="0" w:space="0" w:color="auto"/>
        <w:right w:val="none" w:sz="0" w:space="0" w:color="auto"/>
      </w:divBdr>
    </w:div>
    <w:div w:id="1968198735">
      <w:bodyDiv w:val="1"/>
      <w:marLeft w:val="0"/>
      <w:marRight w:val="0"/>
      <w:marTop w:val="0"/>
      <w:marBottom w:val="0"/>
      <w:divBdr>
        <w:top w:val="none" w:sz="0" w:space="0" w:color="auto"/>
        <w:left w:val="none" w:sz="0" w:space="0" w:color="auto"/>
        <w:bottom w:val="none" w:sz="0" w:space="0" w:color="auto"/>
        <w:right w:val="none" w:sz="0" w:space="0" w:color="auto"/>
      </w:divBdr>
    </w:div>
    <w:div w:id="203137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1299</ap:Words>
  <ap:Characters>7148</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2025-10-15T10:18:00.0000000Z</dcterms:created>
  <dcterms:modified xsi:type="dcterms:W3CDTF">2025-10-15T10:18:00.0000000Z</dcterms:modified>
  <version/>
  <category/>
</coreProperties>
</file>