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2025Z19014</w:t>
        <w:br/>
      </w:r>
      <w:proofErr w:type="spellEnd"/>
    </w:p>
    <w:p>
      <w:pPr>
        <w:pStyle w:val="Normal"/>
        <w:rPr>
          <w:b w:val="1"/>
          <w:bCs w:val="1"/>
        </w:rPr>
      </w:pPr>
      <w:r w:rsidR="250AE766">
        <w:rPr>
          <w:b w:val="0"/>
          <w:bCs w:val="0"/>
        </w:rPr>
        <w:t>(ingezonden 16 oktober 2025)</w:t>
        <w:br/>
      </w:r>
    </w:p>
    <w:p>
      <w:r>
        <w:t xml:space="preserve">Vragen van het lid Joseph (BBB) aan de minister van Sociale Zaken en Werkgelegenheid over de opvolging van aanbevelingen van de Ombudsman Pensioenen en het functioneren van de Geschilleninstantie Pensioenfondsen</w:t>
      </w:r>
      <w:r>
        <w:br/>
      </w:r>
    </w:p>
    <w:p>
      <w:pPr>
        <w:pStyle w:val="ListParagraph"/>
        <w:numPr>
          <w:ilvl w:val="0"/>
          <w:numId w:val="100488840"/>
        </w:numPr>
        <w:ind w:left="360"/>
      </w:pPr>
      <w:r>
        <w:t xml:space="preserve">Bent u bekend met de signalen uit het jaarverslag 2024 van de Geschilleninstantie Pensioenfondsen (GIP) en het interview met Ombudsman Jeroen Steenvoorden, waarin stevige kritiek wordt geuit op de handelwijze van pensioenfondsen? 1)</w:t>
      </w:r>
      <w:r>
        <w:br/>
      </w:r>
    </w:p>
    <w:p>
      <w:pPr>
        <w:pStyle w:val="ListParagraph"/>
        <w:numPr>
          <w:ilvl w:val="0"/>
          <w:numId w:val="100488840"/>
        </w:numPr>
        <w:ind w:left="360"/>
      </w:pPr>
      <w:r>
        <w:t xml:space="preserve">Hoe beoordeelt u de constatering van de Ombudsman dat pensioenfondsen te veel in “regeltjes” denken en te weinig maatwerk toepassen, waardoor deelnemers in schrijnende situaties tussen wal en schip kunnen vallen?</w:t>
      </w:r>
      <w:r>
        <w:br/>
      </w:r>
    </w:p>
    <w:p>
      <w:pPr>
        <w:pStyle w:val="ListParagraph"/>
        <w:numPr>
          <w:ilvl w:val="0"/>
          <w:numId w:val="100488840"/>
        </w:numPr>
        <w:ind w:left="360"/>
      </w:pPr>
      <w:r>
        <w:t xml:space="preserve">De Ombudsman pleit ervoor om bij de uitvoering van pensioenregelingen nadrukkelijker de menselijke maat te hanteren en gebruik te maken van hardheidsclausules. Wat gaat u doen om ervoor te zorgen dat pensioenfondsen deze aanbeveling niet naast zich neerleggen?</w:t>
      </w:r>
      <w:r>
        <w:br/>
      </w:r>
    </w:p>
    <w:p>
      <w:pPr>
        <w:pStyle w:val="ListParagraph"/>
        <w:numPr>
          <w:ilvl w:val="0"/>
          <w:numId w:val="100488840"/>
        </w:numPr>
        <w:ind w:left="360"/>
      </w:pPr>
      <w:r>
        <w:t xml:space="preserve">De Ombudsman signaleert structurele problemen bij arbeidsongeschiktheid (te strikte toepassing van meldtermijnen), bij trage waardeoverdrachten, en bij gebrekkige communicatie richting deelnemers. Deelt u de zorg dat hierdoor mensen onnodig financieel nadeel ondervinden?</w:t>
      </w:r>
      <w:r>
        <w:br/>
      </w:r>
    </w:p>
    <w:p>
      <w:pPr>
        <w:pStyle w:val="ListParagraph"/>
        <w:numPr>
          <w:ilvl w:val="0"/>
          <w:numId w:val="100488840"/>
        </w:numPr>
        <w:ind w:left="360"/>
      </w:pPr>
      <w:r>
        <w:t xml:space="preserve">Hoe monitort u of pensioenfondsen de adviezen van de Ombudsman opvolgen? Hoeveel van deze adviezen zijn daadwerkelijk opgevolgd? En wat gebeurt er als pensioenfondsen adviezen structureel negeren?</w:t>
      </w:r>
      <w:r>
        <w:br/>
      </w:r>
    </w:p>
    <w:p>
      <w:pPr>
        <w:pStyle w:val="ListParagraph"/>
        <w:numPr>
          <w:ilvl w:val="0"/>
          <w:numId w:val="100488840"/>
        </w:numPr>
        <w:ind w:left="360"/>
      </w:pPr>
      <w:r>
        <w:t xml:space="preserve">Bent u bereid te onderzoeken of pensioenfondsen verplicht kunnen worden om gemotiveerd te reageren op adviezen van de Ombudsman Pensioenen en deze in beginsel uit te voeren, tenzij zwaarwegende redenen zich daartegen verzetten?</w:t>
      </w:r>
      <w:r>
        <w:br/>
      </w:r>
    </w:p>
    <w:p>
      <w:pPr>
        <w:pStyle w:val="ListParagraph"/>
        <w:numPr>
          <w:ilvl w:val="0"/>
          <w:numId w:val="100488840"/>
        </w:numPr>
        <w:ind w:left="360"/>
      </w:pPr>
      <w:r>
        <w:t xml:space="preserve">Acht u het wenselijk dat deelnemers beter beschermd worden tegen fouten van pensioenfondsen, bijvoorbeeld door het wettelijk versterken van de positie van de Ombudsman of door aanvullende bevoegdheden voor toezicht en handhaving?</w:t>
      </w:r>
      <w:r>
        <w:br/>
      </w:r>
    </w:p>
    <w:p>
      <w:pPr>
        <w:pStyle w:val="ListParagraph"/>
        <w:numPr>
          <w:ilvl w:val="0"/>
          <w:numId w:val="100488840"/>
        </w:numPr>
        <w:ind w:left="360"/>
      </w:pPr>
      <w:r>
        <w:t xml:space="preserve">Bent u bekend met het artikel “Uitspraken Geschilleninstantie doorgaans in nadeel deelnemer” van Pensioen Pro van 13 oktober 2025?</w:t>
      </w:r>
      <w:r>
        <w:br/>
      </w:r>
    </w:p>
    <w:p>
      <w:pPr>
        <w:pStyle w:val="ListParagraph"/>
        <w:numPr>
          <w:ilvl w:val="0"/>
          <w:numId w:val="100488840"/>
        </w:numPr>
        <w:ind w:left="360"/>
      </w:pPr>
      <w:r>
        <w:t xml:space="preserve">Klopt het dat sinds de oprichting van de GIP slechts drie van de achttien bindende uitspraken in het voordeel van deelnemers zijn uitgevallen? Zo ja, hoe beoordeelt u deze scheve verhouding?</w:t>
      </w:r>
      <w:r>
        <w:br/>
      </w:r>
    </w:p>
    <w:p>
      <w:pPr>
        <w:pStyle w:val="ListParagraph"/>
        <w:numPr>
          <w:ilvl w:val="0"/>
          <w:numId w:val="100488840"/>
        </w:numPr>
        <w:ind w:left="360"/>
      </w:pPr>
      <w:r>
        <w:t xml:space="preserve">Deelt u de zorg van deskundigen, waaronder Mark Heemskerk en Wout Wijnbeek, dat deelnemers zonder juridische bijstand aanzienlijk minder kans maken om hun gelijk te halen dan pensioenfondsen die professioneel vertegenwoordigd zijn? Hoe waarborgt u dat deelnemers een gelijkwaardige procespositie hebben?</w:t>
      </w:r>
      <w:r>
        <w:br/>
      </w:r>
    </w:p>
    <w:p>
      <w:pPr>
        <w:pStyle w:val="ListParagraph"/>
        <w:numPr>
          <w:ilvl w:val="0"/>
          <w:numId w:val="100488840"/>
        </w:numPr>
        <w:ind w:left="360"/>
      </w:pPr>
      <w:r>
        <w:t xml:space="preserve">Acht u het wenselijk dat de GIP — zoals nu het geval is — geen bevoegdheid heeft om de inhoud van pensioenreglementen te toetsen? Zo ja, waarom? Zo nee, overweegt u om dit toetsingsverbod aan te passen?</w:t>
      </w:r>
      <w:r>
        <w:br/>
      </w:r>
    </w:p>
    <w:p>
      <w:pPr>
        <w:pStyle w:val="ListParagraph"/>
        <w:numPr>
          <w:ilvl w:val="0"/>
          <w:numId w:val="100488840"/>
        </w:numPr>
        <w:ind w:left="360"/>
      </w:pPr>
      <w:r>
        <w:t xml:space="preserve">Bent u het ermee eens dat deze beperkte bevoegdheden ertoe leiden dat deelnemers vaak met lege handen achterblijven, ook in situaties waarin sprake is van onduidelijke communicatie vanuit pensioenfondsen?</w:t>
      </w:r>
      <w:r>
        <w:br/>
      </w:r>
    </w:p>
    <w:p>
      <w:pPr>
        <w:pStyle w:val="ListParagraph"/>
        <w:numPr>
          <w:ilvl w:val="0"/>
          <w:numId w:val="100488840"/>
        </w:numPr>
        <w:ind w:left="360"/>
      </w:pPr>
      <w:r>
        <w:t xml:space="preserve">Zijn er signalen dat deelnemers ten onrechte verwachten dat zij via de GIP ook beleidsmatige of stelselgerelateerde kwesties — zoals het invaren onder de Wet toekomst pensioenen — kunnen aanvechten? Zo ja, wat gaat u doen om deze verwachtingen beter te managen?</w:t>
      </w:r>
      <w:r>
        <w:br/>
      </w:r>
    </w:p>
    <w:p>
      <w:pPr>
        <w:pStyle w:val="ListParagraph"/>
        <w:numPr>
          <w:ilvl w:val="0"/>
          <w:numId w:val="100488840"/>
        </w:numPr>
        <w:ind w:left="360"/>
      </w:pPr>
      <w:r>
        <w:t xml:space="preserve">Overweegt u om de communicatievereisten voor pensioenfondsen aan te scherpen, zodat deelnemers beter weten waar ze terechtkunnen met welke klachten?</w:t>
      </w:r>
      <w:r>
        <w:br/>
      </w:r>
    </w:p>
    <w:p>
      <w:pPr>
        <w:pStyle w:val="ListParagraph"/>
        <w:numPr>
          <w:ilvl w:val="0"/>
          <w:numId w:val="100488840"/>
        </w:numPr>
        <w:ind w:left="360"/>
      </w:pPr>
      <w:r>
        <w:t xml:space="preserve">Hoe beoordeelt u de oproep van deskundigen om geschillen over pensioenen vaker door de rechterlijke macht te laten behandelen, in plaats van via alternatieve geschilleninstanties?</w:t>
      </w:r>
      <w:r>
        <w:br/>
      </w:r>
    </w:p>
    <w:p>
      <w:pPr>
        <w:pStyle w:val="ListParagraph"/>
        <w:numPr>
          <w:ilvl w:val="0"/>
          <w:numId w:val="100488840"/>
        </w:numPr>
        <w:ind w:left="360"/>
      </w:pPr>
      <w:r>
        <w:t xml:space="preserve">Bent u bereid om:</w:t>
      </w:r>
      <w:r>
        <w:br/>
      </w:r>
      <w:r>
        <w:t xml:space="preserve">a. De rol en bevoegdheden van de GIP te evalueren;</w:t>
      </w:r>
      <w:r>
        <w:br/>
      </w:r>
      <w:r>
        <w:t xml:space="preserve">b. Te onderzoeken of aanpassing van het toetsingsverbod mogelijk is;</w:t>
      </w:r>
      <w:r>
        <w:br/>
      </w:r>
      <w:r>
        <w:t xml:space="preserve">c. De toegankelijkheid van juridische bijstand voor deelnemers te verbeteren?</w:t>
      </w:r>
      <w:r>
        <w:br/>
      </w:r>
      <w:r>
        <w:t xml:space="preserve">Zo ja, op welke termijn? Zo nee, waarom niet?</w:t>
      </w:r>
      <w:r>
        <w:br/>
      </w:r>
    </w:p>
    <w:p>
      <w:pPr>
        <w:pStyle w:val="ListParagraph"/>
        <w:numPr>
          <w:ilvl w:val="0"/>
          <w:numId w:val="100488840"/>
        </w:numPr>
        <w:ind w:left="360"/>
      </w:pPr>
      <w:r>
        <w:t xml:space="preserve">Hoe gaat u ervoor zorgen dat deelnemers ook daadwerkelijk vertrouwen kunnen hebben in een eerlijke en onafhankelijke geschilbeslechting over hun pensioen?</w:t>
      </w:r>
      <w:r>
        <w:br/>
      </w:r>
    </w:p>
    <w:p>
      <w:pPr>
        <w:pStyle w:val="ListParagraph"/>
        <w:numPr>
          <w:ilvl w:val="0"/>
          <w:numId w:val="100488840"/>
        </w:numPr>
        <w:ind w:left="360"/>
      </w:pPr>
      <w:r>
        <w:t xml:space="preserve">Kunt u garanderen dat de GIP, de Ombudsman en de toezichthouders voldoende middelen en bevoegdheden krijgen om hun rol effectief te vervullen, juist in de komende jaren van pensioentransitie?</w:t>
      </w:r>
      <w:r>
        <w:br/>
      </w:r>
    </w:p>
    <w:p>
      <w:pPr>
        <w:pStyle w:val="ListParagraph"/>
        <w:numPr>
          <w:ilvl w:val="0"/>
          <w:numId w:val="100488840"/>
        </w:numPr>
        <w:ind w:left="360"/>
      </w:pPr>
      <w:r>
        <w:t xml:space="preserve"> Kunt u deze vragen één voor één en binnen drie weken beantwoorden?</w:t>
      </w:r>
      <w:r>
        <w:br/>
      </w:r>
    </w:p>
    <w:p>
      <w:r>
        <w:t xml:space="preserve"> </w:t>
      </w:r>
      <w:r>
        <w:br/>
      </w:r>
    </w:p>
    <w:p>
      <w:r>
        <w:t xml:space="preserve">1) Geschilleninstantie Pensioenfondsen, 'Jaarverslag Geschilleninstantie Pensioenfondsen 2024', https://geschilleninstantiepensioenfondsen.nl/downloads/</w:t>
      </w:r>
      <w:r>
        <w:br/>
      </w:r>
    </w:p>
    <w:p>
      <w:r>
        <w:t xml:space="preserve">2) Pensioen Pro, 13 oktober 2025, 'Uitspraken Geschilleninstantie doorgaans in nadeel deelnemer', pensioenpro.nl/uitspraken-geschilleninstantie-doorgaans-in-nadeel-deelnemer/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40">
    <w:abstractNumId w:val="100488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