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2025Z19074</w:t>
        <w:br/>
      </w:r>
      <w:proofErr w:type="spellEnd"/>
    </w:p>
    <w:p>
      <w:pPr>
        <w:pStyle w:val="Normal"/>
        <w:rPr>
          <w:b w:val="1"/>
          <w:bCs w:val="1"/>
        </w:rPr>
      </w:pPr>
      <w:r w:rsidR="250AE766">
        <w:rPr>
          <w:b w:val="0"/>
          <w:bCs w:val="0"/>
        </w:rPr>
        <w:t>(ingezonden 17 oktober 2025)</w:t>
        <w:br/>
      </w:r>
    </w:p>
    <w:p>
      <w:r>
        <w:t xml:space="preserve">Vragen van het lid Flach (SGP) aan de staatssecretaris van Landbouw, Visserij, Voedselzekerheid en Natuur over de natuurdoelen voor de Westerschelde</w:t>
      </w:r>
      <w:r>
        <w:br/>
      </w:r>
    </w:p>
    <w:p>
      <w:r>
        <w:t xml:space="preserve"> </w:t>
      </w:r>
      <w:r>
        <w:br/>
      </w:r>
    </w:p>
    <w:p>
      <w:pPr>
        <w:pStyle w:val="ListParagraph"/>
        <w:numPr>
          <w:ilvl w:val="0"/>
          <w:numId w:val="100488930"/>
        </w:numPr>
        <w:ind w:left="360"/>
      </w:pPr>
      <w:r>
        <w:t xml:space="preserve">Heeft u kennisgenomen van de bezwaren van de provincie Zeeland bij de uitbreidingsdoelstelling voor het habitattype Estuaria (H1130)? [1]</w:t>
      </w:r>
      <w:r>
        <w:br/>
      </w:r>
    </w:p>
    <w:p>
      <w:pPr>
        <w:pStyle w:val="ListParagraph"/>
        <w:numPr>
          <w:ilvl w:val="0"/>
          <w:numId w:val="100488930"/>
        </w:numPr>
        <w:ind w:left="360"/>
      </w:pPr>
      <w:r>
        <w:t xml:space="preserve">Is de veronderstelling juist dat de uitbreidingsdoelstelling vooral is bedoeld om kwaliteitsverbetering te realiseren met behoud van de huidige vaargeuldiepte?</w:t>
      </w:r>
      <w:r>
        <w:br/>
      </w:r>
    </w:p>
    <w:p>
      <w:pPr>
        <w:pStyle w:val="ListParagraph"/>
        <w:numPr>
          <w:ilvl w:val="0"/>
          <w:numId w:val="100488930"/>
        </w:numPr>
        <w:ind w:left="360"/>
      </w:pPr>
      <w:r>
        <w:t xml:space="preserve">Is de veronderstelling juist dat de gewenste kwaliteitsverbetering bezien vanuit de Habitatrichtlijn ook kan worden gerealiseerd door het verondiepen van de vaargeulen, waardoor uitbreiding niet of minder noodzakelijk is?</w:t>
      </w:r>
      <w:r>
        <w:br/>
      </w:r>
    </w:p>
    <w:p>
      <w:pPr>
        <w:pStyle w:val="ListParagraph"/>
        <w:numPr>
          <w:ilvl w:val="0"/>
          <w:numId w:val="100488930"/>
        </w:numPr>
        <w:ind w:left="360"/>
      </w:pPr>
      <w:r>
        <w:t xml:space="preserve">Hoe verhoudt het afgeven van baggervergunningen voor het op diepte houden van de vaargeul in de Westerschelde zich tot de geconstateerde problemen met de staat van instandhouding van het habitattype estuaria?</w:t>
      </w:r>
      <w:r>
        <w:br/>
      </w:r>
    </w:p>
    <w:p>
      <w:pPr>
        <w:pStyle w:val="ListParagraph"/>
        <w:numPr>
          <w:ilvl w:val="0"/>
          <w:numId w:val="100488930"/>
        </w:numPr>
        <w:ind w:left="360"/>
      </w:pPr>
      <w:r>
        <w:t xml:space="preserve">Bent u voornemens de gewenste kwaliteitsverbetering vooral te bereiken via verondieping en/of buitendijkse maatregelen in plaats van ontpoldering?</w:t>
      </w:r>
      <w:r>
        <w:br/>
      </w:r>
    </w:p>
    <w:p>
      <w:pPr>
        <w:pStyle w:val="ListParagraph"/>
        <w:numPr>
          <w:ilvl w:val="0"/>
          <w:numId w:val="100488930"/>
        </w:numPr>
        <w:ind w:left="360"/>
      </w:pPr>
      <w:r>
        <w:t xml:space="preserve">Deelt u de mening dat na de pijnlijke ontpoldering van onder meer de Hedwigepolder eventuele nieuwe ontpolderingen in strijd zouden zijn met de verplichting in de Habitatrichtlijn dat "in de op grond van deze richtlijn genomen maatregelen […] rekening [wordt] gehouden met de vereisten op economisch, sociaal en cultureel gebied, en met de regionale en lokale bijzonderheden" (artikel 2, derde lid)?</w:t>
      </w:r>
      <w:r>
        <w:br/>
      </w:r>
    </w:p>
    <w:p>
      <w:pPr>
        <w:pStyle w:val="ListParagraph"/>
        <w:numPr>
          <w:ilvl w:val="0"/>
          <w:numId w:val="100488930"/>
        </w:numPr>
        <w:ind w:left="360"/>
      </w:pPr>
      <w:r>
        <w:t xml:space="preserve">Deelt u de mening dat met de inmiddels gerealiseerde ontpolderingen al wordt voldaan aan de uitbreidingsdoelstelling en nieuwe uitbreiding onwenselijk is?</w:t>
      </w:r>
      <w:r>
        <w:br/>
      </w:r>
    </w:p>
    <w:p>
      <w:pPr>
        <w:pStyle w:val="ListParagraph"/>
        <w:numPr>
          <w:ilvl w:val="0"/>
          <w:numId w:val="100488930"/>
        </w:numPr>
        <w:ind w:left="360"/>
      </w:pPr>
      <w:r>
        <w:t xml:space="preserve">Is de veronderstelling juist dat met de sinds de aanwijzing van de Westerschelde als Habitatrichtlijngebied gerealiseerde toename van het oppervlak laagdynamisch intergetijdegebied geen sprake is van verslechtering en juist sprake is van kwaliteitsverbetering? [2]</w:t>
      </w:r>
      <w:r>
        <w:br/>
      </w:r>
    </w:p>
    <w:p>
      <w:pPr>
        <w:pStyle w:val="ListParagraph"/>
        <w:numPr>
          <w:ilvl w:val="0"/>
          <w:numId w:val="100488930"/>
        </w:numPr>
        <w:ind w:left="360"/>
      </w:pPr>
      <w:r>
        <w:t xml:space="preserve">Hoe gaat u nieuwe ontpolderingen rond de Westerschelde voorkomen?</w:t>
      </w:r>
      <w:r>
        <w:br/>
      </w:r>
    </w:p>
    <w:p>
      <w:pPr>
        <w:pStyle w:val="ListParagraph"/>
        <w:numPr>
          <w:ilvl w:val="0"/>
          <w:numId w:val="100488930"/>
        </w:numPr>
        <w:ind w:left="360"/>
      </w:pPr>
      <w:r>
        <w:t xml:space="preserve">Gaat u ervoor zorgen dat Nederland in de Vlaams-Nederlandse Scheldecommissie aanstuurt op het voorkomen van nieuwe ontpolderingen?</w:t>
      </w:r>
      <w:r>
        <w:br/>
      </w:r>
    </w:p>
    <w:p>
      <w:r>
        <w:t xml:space="preserve"> </w:t>
      </w:r>
      <w:r>
        <w:br/>
      </w:r>
    </w:p>
    <w:p>
      <w:r>
        <w:t xml:space="preserve"> </w:t>
      </w:r>
      <w:r>
        <w:br/>
      </w:r>
    </w:p>
    <w:p>
      <w:r>
        <w:t xml:space="preserve">[1] Provincie Zeeland, 27 mei 2025, 'Zienswijze van Provincie Zeeland naar aanleiding van de internetconsultatie voor de nieuwe landelijke doelen Natura 2000' (https://www.zeeland.nl/sites/default/files/digitaalarchief/IB25_17a88a0f.pdf)</w:t>
      </w:r>
      <w:r>
        <w:br/>
      </w:r>
    </w:p>
    <w:p>
      <w:r>
        <w:t xml:space="preserve">[2] Rijkswaterstaat, 13 juli 2023, 'Toelichting op de zoute ecotopenkaart Westerschelde 2022' (https://open.rijkswaterstaat.nl/@260411/toelichting-zoute-ecotopenkaart/)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870">
    <w:abstractNumId w:val="100488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