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61C2" w:rsidR="00077F4B" w:rsidP="00B96DA2" w:rsidRDefault="00D43AF5" w14:paraId="72C32AE3" w14:textId="5A5C5B07">
      <w:pPr>
        <w:spacing w:line="240" w:lineRule="exact"/>
        <w:ind w:left="1410" w:hanging="1410"/>
        <w:contextualSpacing/>
        <w:rPr>
          <w:b/>
          <w:szCs w:val="18"/>
        </w:rPr>
      </w:pPr>
      <w:r w:rsidRPr="009761C2">
        <w:rPr>
          <w:b/>
          <w:szCs w:val="18"/>
        </w:rPr>
        <w:t>36</w:t>
      </w:r>
      <w:r w:rsidRPr="009761C2" w:rsidR="00B96DA2">
        <w:rPr>
          <w:b/>
          <w:szCs w:val="18"/>
        </w:rPr>
        <w:t>817</w:t>
      </w:r>
      <w:r w:rsidRPr="009761C2" w:rsidR="00304EAA">
        <w:rPr>
          <w:b/>
          <w:szCs w:val="18"/>
        </w:rPr>
        <w:t xml:space="preserve"> </w:t>
      </w:r>
      <w:r w:rsidRPr="009761C2" w:rsidR="00304EAA">
        <w:rPr>
          <w:b/>
          <w:szCs w:val="18"/>
        </w:rPr>
        <w:tab/>
      </w:r>
      <w:r w:rsidRPr="009761C2" w:rsidR="00304EAA">
        <w:rPr>
          <w:b/>
          <w:szCs w:val="18"/>
        </w:rPr>
        <w:tab/>
      </w:r>
      <w:r w:rsidRPr="009761C2" w:rsidR="00B96DA2">
        <w:rPr>
          <w:b/>
          <w:szCs w:val="18"/>
        </w:rPr>
        <w:t xml:space="preserve">Tweede wijziging van de Wet minimumbelasting 2024 in verband met de in december 2023, juni 2024 en januari 2025 internationaal overeengekomen administratieve richtsnoeren en een aantal overige technische wijzigingen (Tweede wet aanpassing Wet minimumbelasting 2024) </w:t>
      </w:r>
    </w:p>
    <w:p w:rsidRPr="009761C2" w:rsidR="00077F4B" w:rsidP="00077F4B" w:rsidRDefault="00077F4B" w14:paraId="44513057" w14:textId="77777777">
      <w:pPr>
        <w:spacing w:line="240" w:lineRule="exact"/>
        <w:contextualSpacing/>
        <w:rPr>
          <w:szCs w:val="18"/>
        </w:rPr>
      </w:pPr>
    </w:p>
    <w:p w:rsidRPr="00C83193" w:rsidR="00340662" w:rsidP="00340662" w:rsidRDefault="00340662" w14:paraId="507831FC" w14:textId="77777777">
      <w:pPr>
        <w:rPr>
          <w:b/>
          <w:szCs w:val="18"/>
        </w:rPr>
      </w:pPr>
      <w:r w:rsidRPr="00C83193">
        <w:rPr>
          <w:b/>
          <w:szCs w:val="18"/>
        </w:rPr>
        <w:t>Inhoudsopgave</w:t>
      </w:r>
    </w:p>
    <w:p w:rsidR="00340662" w:rsidP="00340662" w:rsidRDefault="00340662" w14:paraId="2E227600" w14:textId="77777777">
      <w:pPr>
        <w:rPr>
          <w:szCs w:val="18"/>
        </w:rPr>
      </w:pPr>
    </w:p>
    <w:p w:rsidR="00676B18" w:rsidRDefault="00340662" w14:paraId="2680B5FE" w14:textId="6B17518A">
      <w:pPr>
        <w:pStyle w:val="Inhopg1"/>
        <w:rPr>
          <w:rFonts w:asciiTheme="minorHAnsi" w:hAnsiTheme="minorHAnsi"/>
          <w:noProof/>
          <w:kern w:val="2"/>
          <w:sz w:val="24"/>
          <w:szCs w:val="24"/>
          <w:lang w:eastAsia="nl-NL"/>
          <w14:ligatures w14:val="standardContextual"/>
        </w:rPr>
      </w:pPr>
      <w:r>
        <w:rPr>
          <w:szCs w:val="18"/>
        </w:rPr>
        <w:fldChar w:fldCharType="begin"/>
      </w:r>
      <w:r>
        <w:rPr>
          <w:szCs w:val="18"/>
        </w:rPr>
        <w:instrText xml:space="preserve"> TOC \o "1-3" \h \z \u </w:instrText>
      </w:r>
      <w:r>
        <w:rPr>
          <w:szCs w:val="18"/>
        </w:rPr>
        <w:fldChar w:fldCharType="separate"/>
      </w:r>
      <w:hyperlink w:history="1" w:anchor="_Toc211438726">
        <w:r w:rsidRPr="00FC7EC1" w:rsidR="00676B18">
          <w:rPr>
            <w:rStyle w:val="Hyperlink"/>
            <w:noProof/>
          </w:rPr>
          <w:t>1. Inleiding</w:t>
        </w:r>
        <w:r w:rsidR="00676B18">
          <w:rPr>
            <w:noProof/>
            <w:webHidden/>
          </w:rPr>
          <w:tab/>
        </w:r>
        <w:r w:rsidR="00676B18">
          <w:rPr>
            <w:noProof/>
            <w:webHidden/>
          </w:rPr>
          <w:fldChar w:fldCharType="begin"/>
        </w:r>
        <w:r w:rsidR="00676B18">
          <w:rPr>
            <w:noProof/>
            <w:webHidden/>
          </w:rPr>
          <w:instrText xml:space="preserve"> PAGEREF _Toc211438726 \h </w:instrText>
        </w:r>
        <w:r w:rsidR="00676B18">
          <w:rPr>
            <w:noProof/>
            <w:webHidden/>
          </w:rPr>
        </w:r>
        <w:r w:rsidR="00676B18">
          <w:rPr>
            <w:noProof/>
            <w:webHidden/>
          </w:rPr>
          <w:fldChar w:fldCharType="separate"/>
        </w:r>
        <w:r w:rsidR="00B45AD7">
          <w:rPr>
            <w:noProof/>
            <w:webHidden/>
          </w:rPr>
          <w:t>2</w:t>
        </w:r>
        <w:r w:rsidR="00676B18">
          <w:rPr>
            <w:noProof/>
            <w:webHidden/>
          </w:rPr>
          <w:fldChar w:fldCharType="end"/>
        </w:r>
      </w:hyperlink>
    </w:p>
    <w:p w:rsidR="00676B18" w:rsidRDefault="006C22F2" w14:paraId="32D29A08" w14:textId="67E56DA5">
      <w:pPr>
        <w:pStyle w:val="Inhopg1"/>
        <w:rPr>
          <w:rFonts w:asciiTheme="minorHAnsi" w:hAnsiTheme="minorHAnsi"/>
          <w:noProof/>
          <w:kern w:val="2"/>
          <w:sz w:val="24"/>
          <w:szCs w:val="24"/>
          <w:lang w:eastAsia="nl-NL"/>
          <w14:ligatures w14:val="standardContextual"/>
        </w:rPr>
      </w:pPr>
      <w:hyperlink w:history="1" w:anchor="_Toc211438727">
        <w:r w:rsidRPr="00FC7EC1" w:rsidR="00676B18">
          <w:rPr>
            <w:rStyle w:val="Hyperlink"/>
            <w:noProof/>
          </w:rPr>
          <w:t>2. Afwijkende verslagjaren</w:t>
        </w:r>
        <w:r w:rsidR="00676B18">
          <w:rPr>
            <w:noProof/>
            <w:webHidden/>
          </w:rPr>
          <w:tab/>
        </w:r>
        <w:r w:rsidR="00676B18">
          <w:rPr>
            <w:noProof/>
            <w:webHidden/>
          </w:rPr>
          <w:fldChar w:fldCharType="begin"/>
        </w:r>
        <w:r w:rsidR="00676B18">
          <w:rPr>
            <w:noProof/>
            <w:webHidden/>
          </w:rPr>
          <w:instrText xml:space="preserve"> PAGEREF _Toc211438727 \h </w:instrText>
        </w:r>
        <w:r w:rsidR="00676B18">
          <w:rPr>
            <w:noProof/>
            <w:webHidden/>
          </w:rPr>
        </w:r>
        <w:r w:rsidR="00676B18">
          <w:rPr>
            <w:noProof/>
            <w:webHidden/>
          </w:rPr>
          <w:fldChar w:fldCharType="separate"/>
        </w:r>
        <w:r w:rsidR="00B45AD7">
          <w:rPr>
            <w:noProof/>
            <w:webHidden/>
          </w:rPr>
          <w:t>2</w:t>
        </w:r>
        <w:r w:rsidR="00676B18">
          <w:rPr>
            <w:noProof/>
            <w:webHidden/>
          </w:rPr>
          <w:fldChar w:fldCharType="end"/>
        </w:r>
      </w:hyperlink>
    </w:p>
    <w:p w:rsidR="00676B18" w:rsidRDefault="006C22F2" w14:paraId="546BE6B1" w14:textId="590A0398">
      <w:pPr>
        <w:pStyle w:val="Inhopg1"/>
        <w:rPr>
          <w:rFonts w:asciiTheme="minorHAnsi" w:hAnsiTheme="minorHAnsi"/>
          <w:noProof/>
          <w:kern w:val="2"/>
          <w:sz w:val="24"/>
          <w:szCs w:val="24"/>
          <w:lang w:eastAsia="nl-NL"/>
          <w14:ligatures w14:val="standardContextual"/>
        </w:rPr>
      </w:pPr>
      <w:hyperlink w:history="1" w:anchor="_Toc211438728">
        <w:r w:rsidRPr="00FC7EC1" w:rsidR="00676B18">
          <w:rPr>
            <w:rStyle w:val="Hyperlink"/>
            <w:noProof/>
          </w:rPr>
          <w:t>3. Administratieve richtsnoeren</w:t>
        </w:r>
        <w:r w:rsidR="00676B18">
          <w:rPr>
            <w:noProof/>
            <w:webHidden/>
          </w:rPr>
          <w:tab/>
        </w:r>
        <w:r w:rsidR="00676B18">
          <w:rPr>
            <w:noProof/>
            <w:webHidden/>
          </w:rPr>
          <w:fldChar w:fldCharType="begin"/>
        </w:r>
        <w:r w:rsidR="00676B18">
          <w:rPr>
            <w:noProof/>
            <w:webHidden/>
          </w:rPr>
          <w:instrText xml:space="preserve"> PAGEREF _Toc211438728 \h </w:instrText>
        </w:r>
        <w:r w:rsidR="00676B18">
          <w:rPr>
            <w:noProof/>
            <w:webHidden/>
          </w:rPr>
        </w:r>
        <w:r w:rsidR="00676B18">
          <w:rPr>
            <w:noProof/>
            <w:webHidden/>
          </w:rPr>
          <w:fldChar w:fldCharType="separate"/>
        </w:r>
        <w:r w:rsidR="00B45AD7">
          <w:rPr>
            <w:noProof/>
            <w:webHidden/>
          </w:rPr>
          <w:t>2</w:t>
        </w:r>
        <w:r w:rsidR="00676B18">
          <w:rPr>
            <w:noProof/>
            <w:webHidden/>
          </w:rPr>
          <w:fldChar w:fldCharType="end"/>
        </w:r>
      </w:hyperlink>
    </w:p>
    <w:p w:rsidR="00676B18" w:rsidRDefault="006C22F2" w14:paraId="4A7E0092" w14:textId="4E300422">
      <w:pPr>
        <w:pStyle w:val="Inhopg1"/>
        <w:rPr>
          <w:rFonts w:asciiTheme="minorHAnsi" w:hAnsiTheme="minorHAnsi"/>
          <w:noProof/>
          <w:kern w:val="2"/>
          <w:sz w:val="24"/>
          <w:szCs w:val="24"/>
          <w:lang w:eastAsia="nl-NL"/>
          <w14:ligatures w14:val="standardContextual"/>
        </w:rPr>
      </w:pPr>
      <w:hyperlink w:history="1" w:anchor="_Toc211438729">
        <w:r w:rsidRPr="00FC7EC1" w:rsidR="00676B18">
          <w:rPr>
            <w:rStyle w:val="Hyperlink"/>
            <w:noProof/>
          </w:rPr>
          <w:t>4. Terugwerkende kracht</w:t>
        </w:r>
        <w:r w:rsidR="00676B18">
          <w:rPr>
            <w:noProof/>
            <w:webHidden/>
          </w:rPr>
          <w:tab/>
        </w:r>
        <w:r w:rsidR="00676B18">
          <w:rPr>
            <w:noProof/>
            <w:webHidden/>
          </w:rPr>
          <w:fldChar w:fldCharType="begin"/>
        </w:r>
        <w:r w:rsidR="00676B18">
          <w:rPr>
            <w:noProof/>
            <w:webHidden/>
          </w:rPr>
          <w:instrText xml:space="preserve"> PAGEREF _Toc211438729 \h </w:instrText>
        </w:r>
        <w:r w:rsidR="00676B18">
          <w:rPr>
            <w:noProof/>
            <w:webHidden/>
          </w:rPr>
        </w:r>
        <w:r w:rsidR="00676B18">
          <w:rPr>
            <w:noProof/>
            <w:webHidden/>
          </w:rPr>
          <w:fldChar w:fldCharType="separate"/>
        </w:r>
        <w:r w:rsidR="00B45AD7">
          <w:rPr>
            <w:noProof/>
            <w:webHidden/>
          </w:rPr>
          <w:t>4</w:t>
        </w:r>
        <w:r w:rsidR="00676B18">
          <w:rPr>
            <w:noProof/>
            <w:webHidden/>
          </w:rPr>
          <w:fldChar w:fldCharType="end"/>
        </w:r>
      </w:hyperlink>
    </w:p>
    <w:p w:rsidR="00676B18" w:rsidRDefault="006C22F2" w14:paraId="5EE8CCEF" w14:textId="6EB325E2">
      <w:pPr>
        <w:pStyle w:val="Inhopg1"/>
        <w:rPr>
          <w:rFonts w:asciiTheme="minorHAnsi" w:hAnsiTheme="minorHAnsi"/>
          <w:noProof/>
          <w:kern w:val="2"/>
          <w:sz w:val="24"/>
          <w:szCs w:val="24"/>
          <w:lang w:eastAsia="nl-NL"/>
          <w14:ligatures w14:val="standardContextual"/>
        </w:rPr>
      </w:pPr>
      <w:hyperlink w:history="1" w:anchor="_Toc211438730">
        <w:r w:rsidRPr="00FC7EC1" w:rsidR="00676B18">
          <w:rPr>
            <w:rStyle w:val="Hyperlink"/>
            <w:noProof/>
          </w:rPr>
          <w:t>5. Internationale ontwikkelingen</w:t>
        </w:r>
        <w:r w:rsidR="00676B18">
          <w:rPr>
            <w:noProof/>
            <w:webHidden/>
          </w:rPr>
          <w:tab/>
        </w:r>
        <w:r w:rsidR="00676B18">
          <w:rPr>
            <w:noProof/>
            <w:webHidden/>
          </w:rPr>
          <w:fldChar w:fldCharType="begin"/>
        </w:r>
        <w:r w:rsidR="00676B18">
          <w:rPr>
            <w:noProof/>
            <w:webHidden/>
          </w:rPr>
          <w:instrText xml:space="preserve"> PAGEREF _Toc211438730 \h </w:instrText>
        </w:r>
        <w:r w:rsidR="00676B18">
          <w:rPr>
            <w:noProof/>
            <w:webHidden/>
          </w:rPr>
        </w:r>
        <w:r w:rsidR="00676B18">
          <w:rPr>
            <w:noProof/>
            <w:webHidden/>
          </w:rPr>
          <w:fldChar w:fldCharType="separate"/>
        </w:r>
        <w:r w:rsidR="00B45AD7">
          <w:rPr>
            <w:noProof/>
            <w:webHidden/>
          </w:rPr>
          <w:t>6</w:t>
        </w:r>
        <w:r w:rsidR="00676B18">
          <w:rPr>
            <w:noProof/>
            <w:webHidden/>
          </w:rPr>
          <w:fldChar w:fldCharType="end"/>
        </w:r>
      </w:hyperlink>
    </w:p>
    <w:p w:rsidR="00676B18" w:rsidRDefault="006C22F2" w14:paraId="240ADC3F" w14:textId="347A1E36">
      <w:pPr>
        <w:pStyle w:val="Inhopg1"/>
        <w:rPr>
          <w:rFonts w:asciiTheme="minorHAnsi" w:hAnsiTheme="minorHAnsi"/>
          <w:noProof/>
          <w:kern w:val="2"/>
          <w:sz w:val="24"/>
          <w:szCs w:val="24"/>
          <w:lang w:eastAsia="nl-NL"/>
          <w14:ligatures w14:val="standardContextual"/>
        </w:rPr>
      </w:pPr>
      <w:hyperlink w:history="1" w:anchor="_Toc211438731">
        <w:r w:rsidRPr="00FC7EC1" w:rsidR="00676B18">
          <w:rPr>
            <w:rStyle w:val="Hyperlink"/>
            <w:rFonts w:eastAsia="Times New Roman" w:cs="Arial"/>
            <w:iCs/>
            <w:noProof/>
            <w:lang w:eastAsia="nl-NL"/>
          </w:rPr>
          <w:t>6. Securitisatie-entiteiten</w:t>
        </w:r>
        <w:r w:rsidR="00676B18">
          <w:rPr>
            <w:noProof/>
            <w:webHidden/>
          </w:rPr>
          <w:tab/>
        </w:r>
        <w:r w:rsidR="00676B18">
          <w:rPr>
            <w:noProof/>
            <w:webHidden/>
          </w:rPr>
          <w:fldChar w:fldCharType="begin"/>
        </w:r>
        <w:r w:rsidR="00676B18">
          <w:rPr>
            <w:noProof/>
            <w:webHidden/>
          </w:rPr>
          <w:instrText xml:space="preserve"> PAGEREF _Toc211438731 \h </w:instrText>
        </w:r>
        <w:r w:rsidR="00676B18">
          <w:rPr>
            <w:noProof/>
            <w:webHidden/>
          </w:rPr>
        </w:r>
        <w:r w:rsidR="00676B18">
          <w:rPr>
            <w:noProof/>
            <w:webHidden/>
          </w:rPr>
          <w:fldChar w:fldCharType="separate"/>
        </w:r>
        <w:r w:rsidR="00B45AD7">
          <w:rPr>
            <w:noProof/>
            <w:webHidden/>
          </w:rPr>
          <w:t>8</w:t>
        </w:r>
        <w:r w:rsidR="00676B18">
          <w:rPr>
            <w:noProof/>
            <w:webHidden/>
          </w:rPr>
          <w:fldChar w:fldCharType="end"/>
        </w:r>
      </w:hyperlink>
    </w:p>
    <w:p w:rsidR="00676B18" w:rsidRDefault="006C22F2" w14:paraId="4FB0142F" w14:textId="47AD8189">
      <w:pPr>
        <w:pStyle w:val="Inhopg1"/>
        <w:rPr>
          <w:rFonts w:asciiTheme="minorHAnsi" w:hAnsiTheme="minorHAnsi"/>
          <w:noProof/>
          <w:kern w:val="2"/>
          <w:sz w:val="24"/>
          <w:szCs w:val="24"/>
          <w:lang w:eastAsia="nl-NL"/>
          <w14:ligatures w14:val="standardContextual"/>
        </w:rPr>
      </w:pPr>
      <w:hyperlink w:history="1" w:anchor="_Toc211438732">
        <w:r w:rsidRPr="00FC7EC1" w:rsidR="00676B18">
          <w:rPr>
            <w:rStyle w:val="Hyperlink"/>
            <w:rFonts w:cs="Arial"/>
            <w:iCs/>
            <w:noProof/>
          </w:rPr>
          <w:t xml:space="preserve">7. </w:t>
        </w:r>
        <w:r w:rsidRPr="00FC7EC1" w:rsidR="00676B18">
          <w:rPr>
            <w:rStyle w:val="Hyperlink"/>
            <w:rFonts w:eastAsia="Times New Roman" w:cs="Arial"/>
            <w:iCs/>
            <w:noProof/>
            <w:lang w:eastAsia="nl-NL"/>
          </w:rPr>
          <w:t>Doorkijkentiteiten</w:t>
        </w:r>
        <w:r w:rsidR="00676B18">
          <w:rPr>
            <w:noProof/>
            <w:webHidden/>
          </w:rPr>
          <w:tab/>
        </w:r>
        <w:r w:rsidR="00676B18">
          <w:rPr>
            <w:noProof/>
            <w:webHidden/>
          </w:rPr>
          <w:fldChar w:fldCharType="begin"/>
        </w:r>
        <w:r w:rsidR="00676B18">
          <w:rPr>
            <w:noProof/>
            <w:webHidden/>
          </w:rPr>
          <w:instrText xml:space="preserve"> PAGEREF _Toc211438732 \h </w:instrText>
        </w:r>
        <w:r w:rsidR="00676B18">
          <w:rPr>
            <w:noProof/>
            <w:webHidden/>
          </w:rPr>
        </w:r>
        <w:r w:rsidR="00676B18">
          <w:rPr>
            <w:noProof/>
            <w:webHidden/>
          </w:rPr>
          <w:fldChar w:fldCharType="separate"/>
        </w:r>
        <w:r w:rsidR="00B45AD7">
          <w:rPr>
            <w:noProof/>
            <w:webHidden/>
          </w:rPr>
          <w:t>9</w:t>
        </w:r>
        <w:r w:rsidR="00676B18">
          <w:rPr>
            <w:noProof/>
            <w:webHidden/>
          </w:rPr>
          <w:fldChar w:fldCharType="end"/>
        </w:r>
      </w:hyperlink>
    </w:p>
    <w:p w:rsidR="00676B18" w:rsidRDefault="006C22F2" w14:paraId="31032ADD" w14:textId="082D6357">
      <w:pPr>
        <w:pStyle w:val="Inhopg1"/>
        <w:rPr>
          <w:rFonts w:asciiTheme="minorHAnsi" w:hAnsiTheme="minorHAnsi"/>
          <w:noProof/>
          <w:kern w:val="2"/>
          <w:sz w:val="24"/>
          <w:szCs w:val="24"/>
          <w:lang w:eastAsia="nl-NL"/>
          <w14:ligatures w14:val="standardContextual"/>
        </w:rPr>
      </w:pPr>
      <w:hyperlink w:history="1" w:anchor="_Toc211438733">
        <w:r w:rsidRPr="00FC7EC1" w:rsidR="00676B18">
          <w:rPr>
            <w:rStyle w:val="Hyperlink"/>
            <w:iCs/>
            <w:noProof/>
          </w:rPr>
          <w:t>8. Joint venture-entiteiten en formeelrechtelijke aspecten</w:t>
        </w:r>
        <w:r w:rsidR="00676B18">
          <w:rPr>
            <w:noProof/>
            <w:webHidden/>
          </w:rPr>
          <w:tab/>
        </w:r>
        <w:r w:rsidR="00676B18">
          <w:rPr>
            <w:noProof/>
            <w:webHidden/>
          </w:rPr>
          <w:fldChar w:fldCharType="begin"/>
        </w:r>
        <w:r w:rsidR="00676B18">
          <w:rPr>
            <w:noProof/>
            <w:webHidden/>
          </w:rPr>
          <w:instrText xml:space="preserve"> PAGEREF _Toc211438733 \h </w:instrText>
        </w:r>
        <w:r w:rsidR="00676B18">
          <w:rPr>
            <w:noProof/>
            <w:webHidden/>
          </w:rPr>
        </w:r>
        <w:r w:rsidR="00676B18">
          <w:rPr>
            <w:noProof/>
            <w:webHidden/>
          </w:rPr>
          <w:fldChar w:fldCharType="separate"/>
        </w:r>
        <w:r w:rsidR="00B45AD7">
          <w:rPr>
            <w:noProof/>
            <w:webHidden/>
          </w:rPr>
          <w:t>9</w:t>
        </w:r>
        <w:r w:rsidR="00676B18">
          <w:rPr>
            <w:noProof/>
            <w:webHidden/>
          </w:rPr>
          <w:fldChar w:fldCharType="end"/>
        </w:r>
      </w:hyperlink>
    </w:p>
    <w:p w:rsidR="00676B18" w:rsidRDefault="006C22F2" w14:paraId="61902751" w14:textId="10E0B36A">
      <w:pPr>
        <w:pStyle w:val="Inhopg1"/>
        <w:rPr>
          <w:rFonts w:asciiTheme="minorHAnsi" w:hAnsiTheme="minorHAnsi"/>
          <w:noProof/>
          <w:kern w:val="2"/>
          <w:sz w:val="24"/>
          <w:szCs w:val="24"/>
          <w:lang w:eastAsia="nl-NL"/>
          <w14:ligatures w14:val="standardContextual"/>
        </w:rPr>
      </w:pPr>
      <w:hyperlink w:history="1" w:anchor="_Toc211438734">
        <w:r w:rsidRPr="00FC7EC1" w:rsidR="00676B18">
          <w:rPr>
            <w:rStyle w:val="Hyperlink"/>
            <w:iCs/>
            <w:noProof/>
          </w:rPr>
          <w:t xml:space="preserve">9. </w:t>
        </w:r>
        <w:r w:rsidRPr="00FC7EC1" w:rsidR="00676B18">
          <w:rPr>
            <w:rStyle w:val="Hyperlink"/>
            <w:noProof/>
          </w:rPr>
          <w:t>Belastinglatenties</w:t>
        </w:r>
        <w:r w:rsidR="00676B18">
          <w:rPr>
            <w:noProof/>
            <w:webHidden/>
          </w:rPr>
          <w:tab/>
        </w:r>
        <w:r w:rsidR="00676B18">
          <w:rPr>
            <w:noProof/>
            <w:webHidden/>
          </w:rPr>
          <w:fldChar w:fldCharType="begin"/>
        </w:r>
        <w:r w:rsidR="00676B18">
          <w:rPr>
            <w:noProof/>
            <w:webHidden/>
          </w:rPr>
          <w:instrText xml:space="preserve"> PAGEREF _Toc211438734 \h </w:instrText>
        </w:r>
        <w:r w:rsidR="00676B18">
          <w:rPr>
            <w:noProof/>
            <w:webHidden/>
          </w:rPr>
        </w:r>
        <w:r w:rsidR="00676B18">
          <w:rPr>
            <w:noProof/>
            <w:webHidden/>
          </w:rPr>
          <w:fldChar w:fldCharType="separate"/>
        </w:r>
        <w:r w:rsidR="00B45AD7">
          <w:rPr>
            <w:noProof/>
            <w:webHidden/>
          </w:rPr>
          <w:t>10</w:t>
        </w:r>
        <w:r w:rsidR="00676B18">
          <w:rPr>
            <w:noProof/>
            <w:webHidden/>
          </w:rPr>
          <w:fldChar w:fldCharType="end"/>
        </w:r>
      </w:hyperlink>
    </w:p>
    <w:p w:rsidR="00676B18" w:rsidRDefault="006C22F2" w14:paraId="72412FC1" w14:textId="66C74461">
      <w:pPr>
        <w:pStyle w:val="Inhopg1"/>
        <w:rPr>
          <w:rFonts w:asciiTheme="minorHAnsi" w:hAnsiTheme="minorHAnsi"/>
          <w:noProof/>
          <w:kern w:val="2"/>
          <w:sz w:val="24"/>
          <w:szCs w:val="24"/>
          <w:lang w:eastAsia="nl-NL"/>
          <w14:ligatures w14:val="standardContextual"/>
        </w:rPr>
      </w:pPr>
      <w:hyperlink w:history="1" w:anchor="_Toc211438735">
        <w:r w:rsidRPr="00FC7EC1" w:rsidR="00676B18">
          <w:rPr>
            <w:rStyle w:val="Hyperlink"/>
            <w:iCs/>
            <w:noProof/>
          </w:rPr>
          <w:t>10. Switch-off-bepaling</w:t>
        </w:r>
        <w:r w:rsidR="00676B18">
          <w:rPr>
            <w:noProof/>
            <w:webHidden/>
          </w:rPr>
          <w:tab/>
        </w:r>
        <w:r w:rsidR="00676B18">
          <w:rPr>
            <w:noProof/>
            <w:webHidden/>
          </w:rPr>
          <w:fldChar w:fldCharType="begin"/>
        </w:r>
        <w:r w:rsidR="00676B18">
          <w:rPr>
            <w:noProof/>
            <w:webHidden/>
          </w:rPr>
          <w:instrText xml:space="preserve"> PAGEREF _Toc211438735 \h </w:instrText>
        </w:r>
        <w:r w:rsidR="00676B18">
          <w:rPr>
            <w:noProof/>
            <w:webHidden/>
          </w:rPr>
        </w:r>
        <w:r w:rsidR="00676B18">
          <w:rPr>
            <w:noProof/>
            <w:webHidden/>
          </w:rPr>
          <w:fldChar w:fldCharType="separate"/>
        </w:r>
        <w:r w:rsidR="00B45AD7">
          <w:rPr>
            <w:noProof/>
            <w:webHidden/>
          </w:rPr>
          <w:t>10</w:t>
        </w:r>
        <w:r w:rsidR="00676B18">
          <w:rPr>
            <w:noProof/>
            <w:webHidden/>
          </w:rPr>
          <w:fldChar w:fldCharType="end"/>
        </w:r>
      </w:hyperlink>
    </w:p>
    <w:p w:rsidR="00340662" w:rsidP="00340662" w:rsidRDefault="00340662" w14:paraId="72C436F6" w14:textId="49D1FD71">
      <w:pPr>
        <w:rPr>
          <w:szCs w:val="18"/>
        </w:rPr>
      </w:pPr>
      <w:r>
        <w:rPr>
          <w:rFonts w:eastAsiaTheme="minorEastAsia" w:cstheme="minorBidi"/>
          <w:szCs w:val="18"/>
          <w:lang w:eastAsia="en-US"/>
        </w:rPr>
        <w:fldChar w:fldCharType="end"/>
      </w:r>
    </w:p>
    <w:p w:rsidR="00340662" w:rsidP="00340662" w:rsidRDefault="00340662" w14:paraId="6C7D64B7" w14:textId="77777777">
      <w:pPr>
        <w:spacing w:after="200" w:line="276" w:lineRule="auto"/>
        <w:rPr>
          <w:szCs w:val="18"/>
        </w:rPr>
      </w:pPr>
      <w:r>
        <w:rPr>
          <w:szCs w:val="18"/>
        </w:rPr>
        <w:br w:type="page"/>
      </w:r>
    </w:p>
    <w:p w:rsidRPr="009761C2" w:rsidR="00077F4B" w:rsidP="00AF52A0" w:rsidRDefault="00077F4B" w14:paraId="3CABC89E" w14:textId="77777777">
      <w:pPr>
        <w:ind w:left="0"/>
        <w:rPr>
          <w:lang w:eastAsia="en-US"/>
        </w:rPr>
      </w:pPr>
    </w:p>
    <w:p w:rsidR="00CA4C41" w:rsidP="00AF52A0" w:rsidRDefault="00CA4C41" w14:paraId="67255CE7" w14:textId="55962AB5">
      <w:pPr>
        <w:pStyle w:val="Kop1"/>
        <w:numPr>
          <w:ilvl w:val="0"/>
          <w:numId w:val="0"/>
        </w:numPr>
        <w:ind w:left="708" w:firstLine="708"/>
      </w:pPr>
      <w:bookmarkStart w:name="_Toc210991381" w:id="0"/>
      <w:bookmarkStart w:name="_Toc211438726" w:id="1"/>
      <w:r w:rsidRPr="009761C2">
        <w:t xml:space="preserve">1. </w:t>
      </w:r>
      <w:r w:rsidRPr="009761C2" w:rsidR="00077F4B">
        <w:t>Inleiding</w:t>
      </w:r>
      <w:bookmarkEnd w:id="0"/>
      <w:bookmarkEnd w:id="1"/>
    </w:p>
    <w:p w:rsidRPr="00676B18" w:rsidR="00676B18" w:rsidP="00676B18" w:rsidRDefault="00676B18" w14:paraId="20A5BB62" w14:textId="77777777">
      <w:pPr>
        <w:rPr>
          <w:lang w:eastAsia="en-US"/>
        </w:rPr>
      </w:pPr>
    </w:p>
    <w:p w:rsidR="00690404" w:rsidP="00690404" w:rsidRDefault="00077F4B" w14:paraId="16519CFE" w14:textId="766D5EFC">
      <w:pPr>
        <w:contextualSpacing/>
        <w:rPr>
          <w:rFonts w:cs="Arial"/>
          <w:szCs w:val="18"/>
        </w:rPr>
      </w:pPr>
      <w:r w:rsidRPr="009761C2">
        <w:rPr>
          <w:rFonts w:cs="Arial"/>
          <w:szCs w:val="18"/>
        </w:rPr>
        <w:t>Het kabinet heeft met interesse kennisgenomen van de vragen en opmerkingen van de leden van de fracties van</w:t>
      </w:r>
      <w:r w:rsidRPr="009761C2" w:rsidR="001244E4">
        <w:rPr>
          <w:rFonts w:cs="Arial"/>
          <w:szCs w:val="18"/>
        </w:rPr>
        <w:t xml:space="preserve"> </w:t>
      </w:r>
      <w:r w:rsidRPr="009761C2" w:rsidR="00690404">
        <w:rPr>
          <w:rFonts w:cs="Arial"/>
          <w:szCs w:val="18"/>
        </w:rPr>
        <w:t xml:space="preserve">GroenLinks-PvdA en </w:t>
      </w:r>
      <w:r w:rsidRPr="009761C2" w:rsidR="001244E4">
        <w:rPr>
          <w:rFonts w:cs="Arial"/>
          <w:szCs w:val="18"/>
        </w:rPr>
        <w:t>de VVD.</w:t>
      </w:r>
    </w:p>
    <w:p w:rsidRPr="009761C2" w:rsidR="00030B48" w:rsidP="00690404" w:rsidRDefault="00030B48" w14:paraId="2F316B6B" w14:textId="77777777">
      <w:pPr>
        <w:contextualSpacing/>
        <w:rPr>
          <w:rFonts w:cs="Arial"/>
          <w:szCs w:val="18"/>
        </w:rPr>
      </w:pPr>
    </w:p>
    <w:p w:rsidRPr="009761C2" w:rsidR="00690404" w:rsidP="00690404" w:rsidRDefault="00FD1EDB" w14:paraId="19DDE812" w14:textId="4D572A17">
      <w:pPr>
        <w:contextualSpacing/>
        <w:rPr>
          <w:rFonts w:cs="Arial"/>
          <w:szCs w:val="18"/>
        </w:rPr>
      </w:pPr>
      <w:r>
        <w:rPr>
          <w:rFonts w:cs="Arial"/>
          <w:szCs w:val="18"/>
        </w:rPr>
        <w:t>Om de zelfstandige leesbaarheid van deze nota naar aanleiding van het verslag te bevorderen</w:t>
      </w:r>
      <w:r w:rsidR="008157C6">
        <w:rPr>
          <w:rFonts w:cs="Arial"/>
          <w:szCs w:val="18"/>
        </w:rPr>
        <w:t>,</w:t>
      </w:r>
      <w:r>
        <w:rPr>
          <w:rFonts w:cs="Arial"/>
          <w:szCs w:val="18"/>
        </w:rPr>
        <w:t xml:space="preserve"> worden de vragen per onderwerp</w:t>
      </w:r>
      <w:r w:rsidRPr="009761C2" w:rsidR="00690404">
        <w:rPr>
          <w:rFonts w:cs="Arial"/>
          <w:szCs w:val="18"/>
        </w:rPr>
        <w:t xml:space="preserve"> beantwoord.</w:t>
      </w:r>
    </w:p>
    <w:p w:rsidRPr="009761C2" w:rsidR="00690404" w:rsidP="00690404" w:rsidRDefault="00690404" w14:paraId="628475DD" w14:textId="77777777">
      <w:pPr>
        <w:contextualSpacing/>
        <w:rPr>
          <w:rFonts w:cs="Arial"/>
          <w:szCs w:val="18"/>
        </w:rPr>
      </w:pPr>
    </w:p>
    <w:p w:rsidR="00690404" w:rsidP="00AF52A0" w:rsidRDefault="00CA4C41" w14:paraId="3E86F8BD" w14:textId="79BD65EC">
      <w:pPr>
        <w:pStyle w:val="Kop1"/>
        <w:numPr>
          <w:ilvl w:val="0"/>
          <w:numId w:val="0"/>
        </w:numPr>
        <w:ind w:left="708" w:firstLine="708"/>
        <w:contextualSpacing/>
      </w:pPr>
      <w:bookmarkStart w:name="_Toc211438727" w:id="2"/>
      <w:r w:rsidRPr="009761C2">
        <w:t xml:space="preserve">2. </w:t>
      </w:r>
      <w:r w:rsidR="00080159">
        <w:t>Afwijkende</w:t>
      </w:r>
      <w:r w:rsidR="00C65DED">
        <w:t xml:space="preserve"> verslagjaren</w:t>
      </w:r>
      <w:bookmarkEnd w:id="2"/>
    </w:p>
    <w:p w:rsidRPr="00676B18" w:rsidR="00676B18" w:rsidP="00676B18" w:rsidRDefault="00676B18" w14:paraId="68C81D5F" w14:textId="77777777">
      <w:pPr>
        <w:rPr>
          <w:lang w:eastAsia="en-US"/>
        </w:rPr>
      </w:pPr>
    </w:p>
    <w:p w:rsidRPr="009761C2" w:rsidR="00690404" w:rsidP="00E203EF" w:rsidRDefault="00690404" w14:paraId="50BF4140" w14:textId="58DA5699">
      <w:pPr>
        <w:contextualSpacing/>
        <w:rPr>
          <w:rFonts w:cs="Arial"/>
          <w:szCs w:val="18"/>
        </w:rPr>
      </w:pPr>
      <w:r w:rsidRPr="009761C2">
        <w:rPr>
          <w:szCs w:val="18"/>
        </w:rPr>
        <w:t xml:space="preserve">De leden van de fractie van GroenLinks-PvdA vragen of </w:t>
      </w:r>
      <w:r w:rsidR="00C65DED">
        <w:rPr>
          <w:szCs w:val="18"/>
        </w:rPr>
        <w:t xml:space="preserve">groepen </w:t>
      </w:r>
      <w:r w:rsidRPr="009761C2">
        <w:rPr>
          <w:szCs w:val="18"/>
        </w:rPr>
        <w:t>de mogelijkheid hebben om de uitkomst te manipuleren</w:t>
      </w:r>
      <w:r w:rsidR="00E203EF">
        <w:rPr>
          <w:szCs w:val="18"/>
        </w:rPr>
        <w:t xml:space="preserve"> bij toepassing</w:t>
      </w:r>
      <w:r w:rsidRPr="009761C2">
        <w:rPr>
          <w:szCs w:val="18"/>
        </w:rPr>
        <w:t xml:space="preserve"> van de regel </w:t>
      </w:r>
      <w:r w:rsidR="00D86D20">
        <w:rPr>
          <w:szCs w:val="18"/>
        </w:rPr>
        <w:t>voor</w:t>
      </w:r>
      <w:r w:rsidRPr="009761C2">
        <w:rPr>
          <w:szCs w:val="18"/>
        </w:rPr>
        <w:t xml:space="preserve"> een niet-geconsolideerde groepsentiteit met een </w:t>
      </w:r>
      <w:r w:rsidR="00D86D20">
        <w:rPr>
          <w:szCs w:val="18"/>
        </w:rPr>
        <w:t xml:space="preserve">ander verslagjaar dan de </w:t>
      </w:r>
      <w:proofErr w:type="spellStart"/>
      <w:r w:rsidR="00D86D20">
        <w:rPr>
          <w:szCs w:val="18"/>
        </w:rPr>
        <w:t>uiteindelijkemoederentiteit</w:t>
      </w:r>
      <w:proofErr w:type="spellEnd"/>
      <w:r w:rsidR="00D86D20">
        <w:rPr>
          <w:szCs w:val="18"/>
        </w:rPr>
        <w:t xml:space="preserve">. De bedoelde regel </w:t>
      </w:r>
      <w:r w:rsidR="008F1048">
        <w:rPr>
          <w:szCs w:val="18"/>
        </w:rPr>
        <w:t>houdt in dat voor de berekening van het effectie</w:t>
      </w:r>
      <w:r w:rsidR="00C65DED">
        <w:rPr>
          <w:szCs w:val="18"/>
        </w:rPr>
        <w:t>ve belastingtarief</w:t>
      </w:r>
      <w:r w:rsidR="008F1048">
        <w:rPr>
          <w:szCs w:val="18"/>
        </w:rPr>
        <w:t xml:space="preserve"> wordt uitgegaan van </w:t>
      </w:r>
      <w:r w:rsidRPr="009761C2">
        <w:rPr>
          <w:szCs w:val="18"/>
        </w:rPr>
        <w:t xml:space="preserve">het verslagjaar dat eindigt in de loop van het verslagjaar van de </w:t>
      </w:r>
      <w:proofErr w:type="spellStart"/>
      <w:r w:rsidRPr="009761C2">
        <w:rPr>
          <w:szCs w:val="18"/>
        </w:rPr>
        <w:t>uiteindelijkemoederentiteit</w:t>
      </w:r>
      <w:proofErr w:type="spellEnd"/>
      <w:r w:rsidRPr="009761C2">
        <w:rPr>
          <w:szCs w:val="18"/>
        </w:rPr>
        <w:t>. De</w:t>
      </w:r>
      <w:r w:rsidR="008F1048">
        <w:rPr>
          <w:szCs w:val="18"/>
        </w:rPr>
        <w:t>ze</w:t>
      </w:r>
      <w:r w:rsidRPr="009761C2">
        <w:rPr>
          <w:szCs w:val="18"/>
        </w:rPr>
        <w:t xml:space="preserve"> regel is van </w:t>
      </w:r>
      <w:r w:rsidRPr="00E203EF">
        <w:rPr>
          <w:rFonts w:cs="Arial"/>
          <w:szCs w:val="18"/>
        </w:rPr>
        <w:t>toepassing in de uitzonderlijk</w:t>
      </w:r>
      <w:r w:rsidR="00FD2BAF">
        <w:rPr>
          <w:rFonts w:cs="Arial"/>
          <w:szCs w:val="18"/>
        </w:rPr>
        <w:t>e</w:t>
      </w:r>
      <w:r w:rsidRPr="00E203EF">
        <w:rPr>
          <w:rFonts w:cs="Arial"/>
          <w:szCs w:val="18"/>
        </w:rPr>
        <w:t xml:space="preserve"> situatie dat een groepsentiteit niet is geconsolideerd</w:t>
      </w:r>
      <w:r w:rsidR="00790799">
        <w:rPr>
          <w:rFonts w:cs="Arial"/>
          <w:szCs w:val="18"/>
        </w:rPr>
        <w:t xml:space="preserve"> in</w:t>
      </w:r>
      <w:r w:rsidRPr="00E203EF">
        <w:rPr>
          <w:rFonts w:cs="Arial"/>
          <w:szCs w:val="18"/>
        </w:rPr>
        <w:t xml:space="preserve"> </w:t>
      </w:r>
      <w:r w:rsidR="00790799">
        <w:rPr>
          <w:rFonts w:cs="Arial"/>
          <w:szCs w:val="18"/>
        </w:rPr>
        <w:t>d</w:t>
      </w:r>
      <w:r w:rsidRPr="00790799" w:rsidR="00790799">
        <w:rPr>
          <w:rFonts w:cs="Arial"/>
          <w:szCs w:val="18"/>
        </w:rPr>
        <w:t xml:space="preserve">e geconsolideerde jaarrekening van </w:t>
      </w:r>
      <w:r w:rsidR="00790799">
        <w:rPr>
          <w:rFonts w:cs="Arial"/>
          <w:szCs w:val="18"/>
        </w:rPr>
        <w:t>de</w:t>
      </w:r>
      <w:r w:rsidRPr="00790799" w:rsidR="00790799">
        <w:rPr>
          <w:rFonts w:cs="Arial"/>
          <w:szCs w:val="18"/>
        </w:rPr>
        <w:t xml:space="preserve"> </w:t>
      </w:r>
      <w:proofErr w:type="spellStart"/>
      <w:r w:rsidRPr="00790799" w:rsidR="00790799">
        <w:rPr>
          <w:rFonts w:cs="Arial"/>
          <w:szCs w:val="18"/>
        </w:rPr>
        <w:t>uiteindelijkemoederentiteit</w:t>
      </w:r>
      <w:proofErr w:type="spellEnd"/>
      <w:r w:rsidRPr="00E203EF">
        <w:rPr>
          <w:rFonts w:cs="Arial"/>
          <w:szCs w:val="18"/>
        </w:rPr>
        <w:t>. Een groepsentiteit kan bijvoorbeeld niet zijn opgenomen in de geconsolideerde jaarrekening</w:t>
      </w:r>
      <w:r w:rsidR="00FD14A3">
        <w:rPr>
          <w:rFonts w:cs="Arial"/>
          <w:szCs w:val="18"/>
        </w:rPr>
        <w:t xml:space="preserve"> van de </w:t>
      </w:r>
      <w:proofErr w:type="spellStart"/>
      <w:r w:rsidR="00FD14A3">
        <w:rPr>
          <w:rFonts w:cs="Arial"/>
          <w:szCs w:val="18"/>
        </w:rPr>
        <w:t>uiteindelijkemoederentiteit</w:t>
      </w:r>
      <w:proofErr w:type="spellEnd"/>
      <w:r w:rsidRPr="00E203EF">
        <w:rPr>
          <w:rFonts w:cs="Arial"/>
          <w:szCs w:val="18"/>
        </w:rPr>
        <w:t xml:space="preserve"> op grond van haar beperkte omvang, op grond van materialiteit of op grond van het feit dat zij ter verkoop wordt aange</w:t>
      </w:r>
      <w:r w:rsidR="006D61B9">
        <w:rPr>
          <w:rFonts w:cs="Arial"/>
          <w:szCs w:val="18"/>
        </w:rPr>
        <w:t>houden</w:t>
      </w:r>
      <w:r w:rsidRPr="00E203EF">
        <w:rPr>
          <w:rFonts w:cs="Arial"/>
          <w:szCs w:val="18"/>
        </w:rPr>
        <w:t xml:space="preserve">. Daarnaast kan het zo zijn dat het verslagjaar van een dergelijke groepsentiteit afwijkt van het verslagjaar van de </w:t>
      </w:r>
      <w:proofErr w:type="spellStart"/>
      <w:r w:rsidRPr="00E203EF">
        <w:rPr>
          <w:rFonts w:cs="Arial"/>
          <w:szCs w:val="18"/>
        </w:rPr>
        <w:t>uiteindelijkemoederentiteit</w:t>
      </w:r>
      <w:proofErr w:type="spellEnd"/>
      <w:r w:rsidRPr="00E203EF">
        <w:rPr>
          <w:rFonts w:cs="Arial"/>
          <w:szCs w:val="18"/>
        </w:rPr>
        <w:t xml:space="preserve">. Het verslagjaar van een joint venture of een joint venture-groep kan bijvoorbeeld afwijken van het verslagjaar van de </w:t>
      </w:r>
      <w:proofErr w:type="spellStart"/>
      <w:r w:rsidRPr="00E203EF">
        <w:rPr>
          <w:rFonts w:cs="Arial"/>
          <w:szCs w:val="18"/>
        </w:rPr>
        <w:t>uiteindelijkemoederentiteit</w:t>
      </w:r>
      <w:proofErr w:type="spellEnd"/>
      <w:r w:rsidRPr="00E203EF">
        <w:rPr>
          <w:rFonts w:cs="Arial"/>
          <w:szCs w:val="18"/>
        </w:rPr>
        <w:t>. Het voorgestelde artikel 6.1, vijfde</w:t>
      </w:r>
      <w:r w:rsidR="00FD14A3">
        <w:rPr>
          <w:rFonts w:cs="Arial"/>
          <w:szCs w:val="18"/>
        </w:rPr>
        <w:t xml:space="preserve"> lid en artikel 7.1, vierde lid</w:t>
      </w:r>
      <w:r w:rsidRPr="00E203EF">
        <w:rPr>
          <w:rFonts w:cs="Arial"/>
          <w:szCs w:val="18"/>
        </w:rPr>
        <w:t xml:space="preserve">, </w:t>
      </w:r>
      <w:r w:rsidR="00737416">
        <w:rPr>
          <w:rFonts w:cs="Arial"/>
          <w:szCs w:val="18"/>
        </w:rPr>
        <w:t>Wet minimumbelasting 2024 (</w:t>
      </w:r>
      <w:r w:rsidRPr="00E203EF">
        <w:rPr>
          <w:rFonts w:cs="Arial"/>
          <w:szCs w:val="18"/>
        </w:rPr>
        <w:t>WMB 2024</w:t>
      </w:r>
      <w:r w:rsidR="00737416">
        <w:rPr>
          <w:rFonts w:cs="Arial"/>
          <w:szCs w:val="18"/>
        </w:rPr>
        <w:t>)</w:t>
      </w:r>
      <w:r w:rsidRPr="00E203EF">
        <w:rPr>
          <w:rFonts w:cs="Arial"/>
          <w:szCs w:val="18"/>
        </w:rPr>
        <w:t xml:space="preserve"> regel</w:t>
      </w:r>
      <w:r w:rsidR="00FD14A3">
        <w:rPr>
          <w:rFonts w:cs="Arial"/>
          <w:szCs w:val="18"/>
        </w:rPr>
        <w:t>en</w:t>
      </w:r>
      <w:r w:rsidRPr="00E203EF">
        <w:rPr>
          <w:rFonts w:cs="Arial"/>
          <w:szCs w:val="18"/>
        </w:rPr>
        <w:t xml:space="preserve"> dat </w:t>
      </w:r>
      <w:r w:rsidR="00B9119A">
        <w:rPr>
          <w:rFonts w:cs="Arial"/>
          <w:szCs w:val="18"/>
        </w:rPr>
        <w:t>in dergelijke gevallen</w:t>
      </w:r>
      <w:r w:rsidRPr="00E203EF">
        <w:rPr>
          <w:rFonts w:cs="Arial"/>
          <w:szCs w:val="18"/>
        </w:rPr>
        <w:t xml:space="preserve"> bij de berekening van het effectieve belastingtarief</w:t>
      </w:r>
      <w:r w:rsidR="00B9119A">
        <w:rPr>
          <w:rFonts w:cs="Arial"/>
          <w:szCs w:val="18"/>
        </w:rPr>
        <w:t xml:space="preserve"> van de desbetreffende niet-geconsolideerde groepsentiteit</w:t>
      </w:r>
      <w:r w:rsidRPr="00E203EF">
        <w:rPr>
          <w:rFonts w:cs="Arial"/>
          <w:szCs w:val="18"/>
        </w:rPr>
        <w:t xml:space="preserve"> moet worden </w:t>
      </w:r>
      <w:r w:rsidR="00B9119A">
        <w:rPr>
          <w:rFonts w:cs="Arial"/>
          <w:szCs w:val="18"/>
        </w:rPr>
        <w:t>uit</w:t>
      </w:r>
      <w:r w:rsidRPr="00E203EF">
        <w:rPr>
          <w:rFonts w:cs="Arial"/>
          <w:szCs w:val="18"/>
        </w:rPr>
        <w:t xml:space="preserve">gegaan van het verslagjaar dat eindigt in de loop van het verslagjaar van de </w:t>
      </w:r>
      <w:proofErr w:type="spellStart"/>
      <w:r w:rsidRPr="00E203EF">
        <w:rPr>
          <w:rFonts w:cs="Arial"/>
          <w:szCs w:val="18"/>
        </w:rPr>
        <w:t>uiteindelijkemoederentiteit</w:t>
      </w:r>
      <w:proofErr w:type="spellEnd"/>
      <w:r w:rsidRPr="00E203EF">
        <w:rPr>
          <w:rFonts w:cs="Arial"/>
          <w:szCs w:val="18"/>
        </w:rPr>
        <w:t>. Het</w:t>
      </w:r>
      <w:r w:rsidR="002A45CF">
        <w:rPr>
          <w:rFonts w:cs="Arial"/>
          <w:szCs w:val="18"/>
        </w:rPr>
        <w:t xml:space="preserve"> gaat hier dus niet om een keuzeregeling maar een dwingendrechtelijk</w:t>
      </w:r>
      <w:r w:rsidR="001D0E3C">
        <w:rPr>
          <w:rFonts w:cs="Arial"/>
          <w:szCs w:val="18"/>
        </w:rPr>
        <w:t>e</w:t>
      </w:r>
      <w:r w:rsidR="002A45CF">
        <w:rPr>
          <w:rFonts w:cs="Arial"/>
          <w:szCs w:val="18"/>
        </w:rPr>
        <w:t xml:space="preserve"> </w:t>
      </w:r>
      <w:r w:rsidRPr="00E203EF">
        <w:rPr>
          <w:rFonts w:cs="Arial"/>
          <w:szCs w:val="18"/>
        </w:rPr>
        <w:t xml:space="preserve">regel </w:t>
      </w:r>
      <w:r w:rsidR="002A45CF">
        <w:rPr>
          <w:rFonts w:cs="Arial"/>
          <w:szCs w:val="18"/>
        </w:rPr>
        <w:t>waarvan niet kan worden afgeweken</w:t>
      </w:r>
      <w:r w:rsidRPr="00E203EF">
        <w:rPr>
          <w:rFonts w:cs="Arial"/>
          <w:szCs w:val="18"/>
        </w:rPr>
        <w:t>.</w:t>
      </w:r>
    </w:p>
    <w:p w:rsidRPr="009761C2" w:rsidR="00690404" w:rsidP="00077F4B" w:rsidRDefault="00690404" w14:paraId="3872E66B" w14:textId="77777777">
      <w:pPr>
        <w:contextualSpacing/>
        <w:rPr>
          <w:rFonts w:cs="Arial"/>
          <w:szCs w:val="18"/>
        </w:rPr>
      </w:pPr>
    </w:p>
    <w:p w:rsidR="00690404" w:rsidP="00AF52A0" w:rsidRDefault="00CA4C41" w14:paraId="5C48FC95" w14:textId="2ADF3E7B">
      <w:pPr>
        <w:pStyle w:val="Kop1"/>
        <w:numPr>
          <w:ilvl w:val="0"/>
          <w:numId w:val="0"/>
        </w:numPr>
        <w:ind w:left="708" w:firstLine="708"/>
      </w:pPr>
      <w:bookmarkStart w:name="_Toc210991382" w:id="3"/>
      <w:bookmarkStart w:name="_Toc211438728" w:id="4"/>
      <w:r w:rsidRPr="009761C2">
        <w:t xml:space="preserve">3. </w:t>
      </w:r>
      <w:r w:rsidRPr="009761C2" w:rsidR="00FB1758">
        <w:t>Administratieve richtsnoeren</w:t>
      </w:r>
      <w:bookmarkEnd w:id="3"/>
      <w:bookmarkEnd w:id="4"/>
      <w:r w:rsidRPr="009761C2" w:rsidR="00FB1758">
        <w:t xml:space="preserve"> </w:t>
      </w:r>
    </w:p>
    <w:p w:rsidRPr="00676B18" w:rsidR="00676B18" w:rsidP="00676B18" w:rsidRDefault="00676B18" w14:paraId="5A9CF721" w14:textId="77777777">
      <w:pPr>
        <w:rPr>
          <w:lang w:eastAsia="en-US"/>
        </w:rPr>
      </w:pPr>
    </w:p>
    <w:p w:rsidRPr="009761C2" w:rsidR="00A46C51" w:rsidP="00530B63" w:rsidRDefault="00FB1758" w14:paraId="58F07353" w14:textId="48541B73">
      <w:pPr>
        <w:contextualSpacing/>
        <w:rPr>
          <w:rFonts w:cs="Arial"/>
          <w:szCs w:val="18"/>
        </w:rPr>
      </w:pPr>
      <w:r w:rsidRPr="009761C2">
        <w:rPr>
          <w:rFonts w:cs="Arial"/>
          <w:szCs w:val="18"/>
        </w:rPr>
        <w:t>De leden van de fractie van de VVD vragen of het voorliggende wetsvoorstel alle resterende administratieve richtsnoeren van de OESO zoals deze tot op heden zijn gepubliceerd</w:t>
      </w:r>
      <w:r w:rsidR="00FD2BAF">
        <w:rPr>
          <w:rFonts w:cs="Arial"/>
          <w:szCs w:val="18"/>
        </w:rPr>
        <w:t>,</w:t>
      </w:r>
      <w:r w:rsidRPr="009761C2">
        <w:rPr>
          <w:rFonts w:cs="Arial"/>
          <w:szCs w:val="18"/>
        </w:rPr>
        <w:t xml:space="preserve"> beoog</w:t>
      </w:r>
      <w:r w:rsidR="00FD2BAF">
        <w:rPr>
          <w:rFonts w:cs="Arial"/>
          <w:szCs w:val="18"/>
        </w:rPr>
        <w:t>t</w:t>
      </w:r>
      <w:r w:rsidRPr="009761C2">
        <w:rPr>
          <w:rFonts w:cs="Arial"/>
          <w:szCs w:val="18"/>
        </w:rPr>
        <w:t xml:space="preserve"> te implementeren. Verder vragen deze leden of alle andere administratieve richtsnoeren, waarvoor geen wettelijke implementatie is voorgesteld met terugwerkende kracht doorwerken naar de Wet minimumbelasting 2024. </w:t>
      </w:r>
      <w:r w:rsidR="00AD2F7C">
        <w:rPr>
          <w:rFonts w:cs="Arial"/>
          <w:szCs w:val="18"/>
        </w:rPr>
        <w:t>Verder vragen deze leden</w:t>
      </w:r>
      <w:r w:rsidRPr="00AD2F7C" w:rsidR="00AD2F7C">
        <w:rPr>
          <w:rFonts w:cs="Arial"/>
          <w:szCs w:val="18"/>
        </w:rPr>
        <w:t xml:space="preserve"> of kan worden toegelicht wat de toegevoegde waarde is van het expliciet opnemen van de administratieve richtsnoeren in de </w:t>
      </w:r>
      <w:r w:rsidRPr="00AD2F7C" w:rsidR="00AD2F7C">
        <w:rPr>
          <w:rFonts w:cs="Arial"/>
          <w:szCs w:val="18"/>
        </w:rPr>
        <w:lastRenderedPageBreak/>
        <w:t xml:space="preserve">Nederlandse wetgeving. </w:t>
      </w:r>
      <w:r w:rsidR="00AD2F7C">
        <w:rPr>
          <w:rFonts w:cs="Arial"/>
          <w:szCs w:val="18"/>
        </w:rPr>
        <w:t xml:space="preserve">Tot slot </w:t>
      </w:r>
      <w:r w:rsidRPr="009761C2" w:rsidR="000549C9">
        <w:rPr>
          <w:rFonts w:cs="Arial"/>
          <w:szCs w:val="18"/>
        </w:rPr>
        <w:t>vragen de</w:t>
      </w:r>
      <w:r w:rsidR="00B94700">
        <w:rPr>
          <w:rFonts w:cs="Arial"/>
          <w:szCs w:val="18"/>
        </w:rPr>
        <w:t>ze</w:t>
      </w:r>
      <w:r w:rsidRPr="009761C2" w:rsidR="000549C9">
        <w:rPr>
          <w:rFonts w:cs="Arial"/>
          <w:szCs w:val="18"/>
        </w:rPr>
        <w:t xml:space="preserve"> leden welke onderdelen van de administratieve richtsnoeren</w:t>
      </w:r>
      <w:r w:rsidRPr="009761C2" w:rsidR="00F813D4">
        <w:rPr>
          <w:rFonts w:cs="Arial"/>
          <w:szCs w:val="18"/>
        </w:rPr>
        <w:t>, waaronder hoofdstuk 5 van de administratieve richtsnoeren van juni 2024,</w:t>
      </w:r>
      <w:r w:rsidRPr="009761C2" w:rsidR="000549C9">
        <w:rPr>
          <w:rFonts w:cs="Arial"/>
          <w:szCs w:val="18"/>
        </w:rPr>
        <w:t xml:space="preserve"> in de nationale wet zijn overgenomen en of hiervan een overzicht kan worden verstrekt. </w:t>
      </w:r>
      <w:r w:rsidRPr="009761C2" w:rsidR="007B01E0">
        <w:rPr>
          <w:rFonts w:cs="Arial"/>
          <w:szCs w:val="18"/>
        </w:rPr>
        <w:t xml:space="preserve">De WMB 2024 is op 31 december 2023 in werking getreden en vindt </w:t>
      </w:r>
      <w:r w:rsidRPr="009761C2" w:rsidR="00B3414E">
        <w:rPr>
          <w:rFonts w:cs="Arial"/>
          <w:szCs w:val="18"/>
        </w:rPr>
        <w:t xml:space="preserve">– kort gezegd </w:t>
      </w:r>
      <w:r w:rsidR="0070032F">
        <w:rPr>
          <w:rFonts w:cs="Arial"/>
          <w:szCs w:val="18"/>
        </w:rPr>
        <w:t>–</w:t>
      </w:r>
      <w:r w:rsidRPr="009761C2" w:rsidR="00B3414E">
        <w:rPr>
          <w:rFonts w:cs="Arial"/>
          <w:szCs w:val="18"/>
        </w:rPr>
        <w:t xml:space="preserve"> </w:t>
      </w:r>
      <w:r w:rsidRPr="009761C2" w:rsidR="007B01E0">
        <w:rPr>
          <w:rFonts w:cs="Arial"/>
          <w:szCs w:val="18"/>
        </w:rPr>
        <w:t xml:space="preserve">voor het eerst toepassing met betrekking tot verslagjaren die aanvangen op of na 31 december 2023. Met deze wet is </w:t>
      </w:r>
      <w:r w:rsidRPr="009761C2" w:rsidR="00B3414E">
        <w:rPr>
          <w:rFonts w:cs="Arial"/>
          <w:szCs w:val="18"/>
        </w:rPr>
        <w:t>Richtlijn (EU) 2022/2523 (EU-richtlijn minimumniveau van belastingheffing)</w:t>
      </w:r>
      <w:r w:rsidRPr="009761C2" w:rsidR="00B3414E">
        <w:rPr>
          <w:rFonts w:cs="Arial"/>
          <w:szCs w:val="18"/>
          <w:vertAlign w:val="superscript"/>
          <w:lang w:val="en-US"/>
        </w:rPr>
        <w:footnoteReference w:id="2"/>
      </w:r>
      <w:r w:rsidRPr="009761C2" w:rsidR="00B3414E">
        <w:rPr>
          <w:rFonts w:cs="Arial"/>
          <w:szCs w:val="18"/>
        </w:rPr>
        <w:t xml:space="preserve"> </w:t>
      </w:r>
      <w:r w:rsidRPr="009761C2" w:rsidR="00722167">
        <w:rPr>
          <w:rFonts w:cs="Arial"/>
          <w:szCs w:val="18"/>
        </w:rPr>
        <w:t xml:space="preserve">geïmplementeerd </w:t>
      </w:r>
      <w:r w:rsidRPr="009761C2" w:rsidR="007B01E0">
        <w:rPr>
          <w:rFonts w:cs="Arial"/>
          <w:szCs w:val="18"/>
        </w:rPr>
        <w:t>om te bewerkstelligen dat multinationale en binnenlandse groepen met een omzet van €</w:t>
      </w:r>
      <w:r w:rsidR="001122B4">
        <w:rPr>
          <w:rFonts w:cs="Arial"/>
          <w:szCs w:val="18"/>
        </w:rPr>
        <w:t> </w:t>
      </w:r>
      <w:r w:rsidRPr="009761C2" w:rsidR="007B01E0">
        <w:rPr>
          <w:rFonts w:cs="Arial"/>
          <w:szCs w:val="18"/>
        </w:rPr>
        <w:t xml:space="preserve">750 miljoen of meer ten minste effectief 15% aan belasting over hun winst betalen. Deze richtlijn is gebaseerd op de modelregels van de Organisatie voor Economische Samenwerking en Ontwikkeling (OESO) zoals aangenomen door het </w:t>
      </w:r>
      <w:proofErr w:type="spellStart"/>
      <w:r w:rsidRPr="009761C2" w:rsidR="007B01E0">
        <w:rPr>
          <w:rFonts w:cs="Arial"/>
          <w:szCs w:val="18"/>
        </w:rPr>
        <w:t>Inclusive</w:t>
      </w:r>
      <w:proofErr w:type="spellEnd"/>
      <w:r w:rsidRPr="009761C2" w:rsidR="007B01E0">
        <w:rPr>
          <w:rFonts w:cs="Arial"/>
          <w:szCs w:val="18"/>
        </w:rPr>
        <w:t xml:space="preserve"> Framework on BEPS (IF) op 14 december 2021</w:t>
      </w:r>
      <w:r w:rsidRPr="009761C2" w:rsidR="007B01E0">
        <w:rPr>
          <w:rFonts w:cs="Arial"/>
          <w:szCs w:val="18"/>
          <w:vertAlign w:val="superscript"/>
          <w:lang w:val="en-US"/>
        </w:rPr>
        <w:footnoteReference w:id="3"/>
      </w:r>
      <w:r w:rsidRPr="009761C2" w:rsidR="007B01E0">
        <w:rPr>
          <w:rFonts w:cs="Arial"/>
          <w:szCs w:val="18"/>
        </w:rPr>
        <w:t xml:space="preserve"> en komt daarmee in hoofdzaak overeen. Na publicatie van deze modelregels is het IF in februari 2023</w:t>
      </w:r>
      <w:r w:rsidRPr="009761C2" w:rsidR="007B01E0">
        <w:rPr>
          <w:rFonts w:cs="Arial"/>
          <w:szCs w:val="18"/>
          <w:vertAlign w:val="superscript"/>
          <w:lang w:val="en-US"/>
        </w:rPr>
        <w:footnoteReference w:id="4"/>
      </w:r>
      <w:r w:rsidRPr="009761C2" w:rsidR="007B01E0">
        <w:rPr>
          <w:rFonts w:cs="Arial"/>
          <w:szCs w:val="18"/>
        </w:rPr>
        <w:t>, juli 2023</w:t>
      </w:r>
      <w:r w:rsidRPr="009761C2" w:rsidR="007B01E0">
        <w:rPr>
          <w:rFonts w:cs="Arial"/>
          <w:szCs w:val="18"/>
          <w:vertAlign w:val="superscript"/>
          <w:lang w:val="en-US"/>
        </w:rPr>
        <w:footnoteReference w:id="5"/>
      </w:r>
      <w:r w:rsidRPr="009761C2" w:rsidR="007B01E0">
        <w:rPr>
          <w:rFonts w:cs="Arial"/>
          <w:szCs w:val="18"/>
        </w:rPr>
        <w:t>, december 2023</w:t>
      </w:r>
      <w:r w:rsidRPr="009761C2" w:rsidR="007B01E0">
        <w:rPr>
          <w:rFonts w:cs="Arial"/>
          <w:szCs w:val="18"/>
          <w:vertAlign w:val="superscript"/>
          <w:lang w:val="en-US"/>
        </w:rPr>
        <w:footnoteReference w:id="6"/>
      </w:r>
      <w:r w:rsidRPr="009761C2" w:rsidR="007B01E0">
        <w:rPr>
          <w:rFonts w:cs="Arial"/>
          <w:szCs w:val="18"/>
        </w:rPr>
        <w:t>, juni 2024</w:t>
      </w:r>
      <w:r w:rsidRPr="009761C2" w:rsidR="007B01E0">
        <w:rPr>
          <w:rFonts w:cs="Arial"/>
          <w:szCs w:val="18"/>
          <w:vertAlign w:val="superscript"/>
          <w:lang w:val="en-US"/>
        </w:rPr>
        <w:footnoteReference w:id="7"/>
      </w:r>
      <w:r w:rsidRPr="009761C2" w:rsidR="007B01E0">
        <w:rPr>
          <w:rFonts w:cs="Arial"/>
          <w:szCs w:val="18"/>
        </w:rPr>
        <w:t xml:space="preserve"> en januari 2025</w:t>
      </w:r>
      <w:r w:rsidRPr="009761C2" w:rsidR="007B01E0">
        <w:rPr>
          <w:rFonts w:cs="Arial"/>
          <w:szCs w:val="18"/>
          <w:vertAlign w:val="superscript"/>
          <w:lang w:val="en-US"/>
        </w:rPr>
        <w:footnoteReference w:id="8"/>
      </w:r>
      <w:r w:rsidRPr="009761C2" w:rsidR="007B01E0">
        <w:rPr>
          <w:rFonts w:cs="Arial"/>
          <w:szCs w:val="18"/>
        </w:rPr>
        <w:t xml:space="preserve"> administratieve richtsnoeren overeengekomen.</w:t>
      </w:r>
      <w:r w:rsidRPr="009761C2" w:rsidR="007B01E0">
        <w:rPr>
          <w:rFonts w:cs="Arial"/>
          <w:szCs w:val="18"/>
          <w:vertAlign w:val="superscript"/>
          <w:lang w:val="en-US"/>
        </w:rPr>
        <w:footnoteReference w:id="9"/>
      </w:r>
      <w:r w:rsidRPr="009761C2" w:rsidR="007B01E0">
        <w:rPr>
          <w:rFonts w:cs="Arial"/>
          <w:szCs w:val="18"/>
        </w:rPr>
        <w:t xml:space="preserve"> </w:t>
      </w:r>
    </w:p>
    <w:p w:rsidR="00FC4924" w:rsidP="00FC4924" w:rsidRDefault="007B01E0" w14:paraId="19454796" w14:textId="06C9DE4B">
      <w:pPr>
        <w:contextualSpacing/>
        <w:rPr>
          <w:rFonts w:cs="Arial"/>
          <w:szCs w:val="18"/>
        </w:rPr>
      </w:pPr>
      <w:r w:rsidRPr="009761C2">
        <w:rPr>
          <w:rFonts w:cs="Arial"/>
          <w:szCs w:val="18"/>
        </w:rPr>
        <w:t xml:space="preserve">De administratieve richtsnoeren van juli en december 2023 zijn </w:t>
      </w:r>
      <w:r w:rsidRPr="009761C2" w:rsidR="00B3414E">
        <w:rPr>
          <w:rFonts w:cs="Arial"/>
          <w:szCs w:val="18"/>
        </w:rPr>
        <w:t>derhalve</w:t>
      </w:r>
      <w:r w:rsidRPr="009761C2">
        <w:rPr>
          <w:rFonts w:cs="Arial"/>
          <w:szCs w:val="18"/>
        </w:rPr>
        <w:t xml:space="preserve"> gepubliceerd nadat het wetsvoorstel Wet minimumbelasting 2024 op 30 mei 2023 naar uw Kamer is verzonden.</w:t>
      </w:r>
      <w:r w:rsidRPr="009761C2">
        <w:rPr>
          <w:rFonts w:cs="Arial"/>
          <w:szCs w:val="18"/>
          <w:vertAlign w:val="superscript"/>
        </w:rPr>
        <w:footnoteReference w:id="10"/>
      </w:r>
      <w:r w:rsidRPr="009761C2">
        <w:rPr>
          <w:rFonts w:cs="Arial"/>
          <w:szCs w:val="18"/>
        </w:rPr>
        <w:t xml:space="preserve"> Dit wetsvoorstel is vervolgens bij nota van wijziging van 18 oktober 2023 aangevuld.</w:t>
      </w:r>
      <w:r w:rsidRPr="009761C2">
        <w:rPr>
          <w:rFonts w:cs="Arial"/>
          <w:szCs w:val="18"/>
          <w:vertAlign w:val="superscript"/>
        </w:rPr>
        <w:footnoteReference w:id="11"/>
      </w:r>
      <w:r w:rsidRPr="009761C2">
        <w:rPr>
          <w:rFonts w:cs="Arial"/>
          <w:szCs w:val="18"/>
        </w:rPr>
        <w:t xml:space="preserve"> Nadien zijn afgelopen jaar door middel van de Wet aanpassing Wet minimumbelasting 2024</w:t>
      </w:r>
      <w:r w:rsidRPr="009761C2">
        <w:rPr>
          <w:rFonts w:cs="Arial"/>
          <w:szCs w:val="18"/>
          <w:vertAlign w:val="superscript"/>
          <w:lang w:val="en-US"/>
        </w:rPr>
        <w:footnoteReference w:id="12"/>
      </w:r>
      <w:r w:rsidRPr="009761C2">
        <w:rPr>
          <w:rFonts w:cs="Arial"/>
          <w:szCs w:val="18"/>
        </w:rPr>
        <w:t xml:space="preserve"> de resterende onderwerpen van de administratieve richtsnoeren van februari en juli 2023 en enkele onderdelen uit de administratieve richtsnoeren van december 2023, waarvoor een wettelijke grondslag nodig is, opgenomen in de WMB 2024. In het onderhavige wetsvoorstel worden de resterende onderdelen uit de administratieve richtsnoeren van december 2023, juni 2024 en januari 2025 opgenomen in de WMB 2024. Voorts is met het Uitvoeringsbesluit minimumbelasting 2024 invulling gegeven aan de in de WMB 2024 opgenomen delegatiebepalingen.</w:t>
      </w:r>
      <w:r w:rsidRPr="009761C2" w:rsidR="004730E3">
        <w:rPr>
          <w:rFonts w:cs="Arial"/>
          <w:szCs w:val="18"/>
        </w:rPr>
        <w:t xml:space="preserve"> </w:t>
      </w:r>
      <w:r w:rsidRPr="009761C2" w:rsidR="00C211A4">
        <w:rPr>
          <w:rFonts w:cs="Arial"/>
          <w:szCs w:val="18"/>
        </w:rPr>
        <w:t xml:space="preserve">Het Uitvoeringsbesluit minimumbelasting 2024 zal met het </w:t>
      </w:r>
      <w:proofErr w:type="spellStart"/>
      <w:r w:rsidRPr="009761C2" w:rsidR="00C211A4">
        <w:rPr>
          <w:szCs w:val="18"/>
        </w:rPr>
        <w:t>Eindejaarsbesluit</w:t>
      </w:r>
      <w:proofErr w:type="spellEnd"/>
      <w:r w:rsidRPr="009761C2" w:rsidR="00C211A4">
        <w:rPr>
          <w:szCs w:val="18"/>
        </w:rPr>
        <w:t xml:space="preserve"> 2025 worden gewijzigd en in overeenstemming </w:t>
      </w:r>
      <w:r w:rsidR="00C52E8A">
        <w:rPr>
          <w:szCs w:val="18"/>
        </w:rPr>
        <w:lastRenderedPageBreak/>
        <w:t xml:space="preserve">worden </w:t>
      </w:r>
      <w:r w:rsidRPr="009761C2" w:rsidR="00C211A4">
        <w:rPr>
          <w:szCs w:val="18"/>
        </w:rPr>
        <w:t xml:space="preserve">gebracht </w:t>
      </w:r>
      <w:r w:rsidRPr="009761C2" w:rsidR="00C211A4">
        <w:t xml:space="preserve">met deze laatste administratieve richtsnoeren. </w:t>
      </w:r>
      <w:r w:rsidRPr="009761C2" w:rsidR="006D5785">
        <w:rPr>
          <w:rFonts w:cs="Arial"/>
          <w:szCs w:val="18"/>
        </w:rPr>
        <w:t>De verschillende administratieve richtsnoeren zijn d</w:t>
      </w:r>
      <w:r w:rsidRPr="009761C2" w:rsidR="00B3414E">
        <w:rPr>
          <w:rFonts w:cs="Arial"/>
          <w:szCs w:val="18"/>
        </w:rPr>
        <w:t>erhalve</w:t>
      </w:r>
      <w:r w:rsidRPr="009761C2" w:rsidR="006D5785">
        <w:rPr>
          <w:rFonts w:cs="Arial"/>
          <w:szCs w:val="18"/>
        </w:rPr>
        <w:t xml:space="preserve"> door middel van verschillende wijzigingen opgenomen in de Nederlandse </w:t>
      </w:r>
      <w:r w:rsidRPr="009761C2" w:rsidR="00B3414E">
        <w:rPr>
          <w:rFonts w:cs="Arial"/>
          <w:szCs w:val="18"/>
        </w:rPr>
        <w:t xml:space="preserve">wet- en </w:t>
      </w:r>
      <w:r w:rsidRPr="009761C2" w:rsidR="006D5785">
        <w:rPr>
          <w:rFonts w:cs="Arial"/>
          <w:szCs w:val="18"/>
        </w:rPr>
        <w:t xml:space="preserve">regelgeving. </w:t>
      </w:r>
      <w:r w:rsidRPr="009761C2" w:rsidR="004730E3">
        <w:rPr>
          <w:rFonts w:cs="Arial"/>
          <w:szCs w:val="18"/>
        </w:rPr>
        <w:t xml:space="preserve">In de verschillende toelichtingen </w:t>
      </w:r>
      <w:r w:rsidRPr="009761C2" w:rsidR="001B4781">
        <w:rPr>
          <w:rFonts w:cs="Arial"/>
          <w:szCs w:val="18"/>
        </w:rPr>
        <w:t>van de wetsaanpassingen, waaronder de memorie van toelichting van het onderhavige wetsvoorstel</w:t>
      </w:r>
      <w:r w:rsidRPr="009761C2" w:rsidR="00882715">
        <w:rPr>
          <w:rFonts w:cs="Arial"/>
          <w:szCs w:val="18"/>
        </w:rPr>
        <w:t xml:space="preserve"> en de artikelsgewijze toelichting</w:t>
      </w:r>
      <w:r w:rsidRPr="009761C2" w:rsidR="001B4781">
        <w:rPr>
          <w:rFonts w:cs="Arial"/>
          <w:szCs w:val="18"/>
        </w:rPr>
        <w:t xml:space="preserve">, wordt specifieker toegelicht welke onderdelen van de administratieve richtsnoeren op welke wijze in regelgeving zijn opgenomen. </w:t>
      </w:r>
      <w:r w:rsidRPr="009761C2" w:rsidR="00530B63">
        <w:rPr>
          <w:rFonts w:cs="Arial"/>
          <w:szCs w:val="18"/>
        </w:rPr>
        <w:t>Het kabinet</w:t>
      </w:r>
      <w:r w:rsidRPr="009761C2" w:rsidR="001B4781">
        <w:rPr>
          <w:rFonts w:cs="Arial"/>
          <w:szCs w:val="18"/>
        </w:rPr>
        <w:t xml:space="preserve"> benadrukt dat</w:t>
      </w:r>
      <w:r w:rsidRPr="009761C2" w:rsidR="00530B63">
        <w:rPr>
          <w:rFonts w:cs="Arial"/>
          <w:szCs w:val="18"/>
        </w:rPr>
        <w:t xml:space="preserve"> de nadere regelgeving vanuit </w:t>
      </w:r>
      <w:r w:rsidRPr="009761C2" w:rsidR="00095A1D">
        <w:rPr>
          <w:rFonts w:cs="Arial"/>
          <w:szCs w:val="18"/>
        </w:rPr>
        <w:t>het IF</w:t>
      </w:r>
      <w:r w:rsidRPr="009761C2" w:rsidR="00530B63">
        <w:rPr>
          <w:rFonts w:cs="Arial"/>
          <w:szCs w:val="18"/>
        </w:rPr>
        <w:t xml:space="preserve">, waaronder de administratieve richtsnoeren, van geval tot geval </w:t>
      </w:r>
      <w:r w:rsidRPr="009761C2" w:rsidR="001B4781">
        <w:rPr>
          <w:rFonts w:cs="Arial"/>
          <w:szCs w:val="18"/>
        </w:rPr>
        <w:t xml:space="preserve">wordt beoordeeld om te </w:t>
      </w:r>
      <w:r w:rsidRPr="009761C2" w:rsidR="006D5785">
        <w:rPr>
          <w:rFonts w:cs="Arial"/>
          <w:szCs w:val="18"/>
        </w:rPr>
        <w:t>bepalen</w:t>
      </w:r>
      <w:r w:rsidRPr="009761C2" w:rsidR="00530B63">
        <w:rPr>
          <w:rFonts w:cs="Arial"/>
          <w:szCs w:val="18"/>
        </w:rPr>
        <w:t xml:space="preserve"> of de wettekst en de toelichting van de WMB 2024 aanpassing behoeven.</w:t>
      </w:r>
      <w:r w:rsidRPr="009761C2" w:rsidR="00530B63">
        <w:rPr>
          <w:rFonts w:cs="Arial"/>
          <w:szCs w:val="18"/>
          <w:vertAlign w:val="superscript"/>
          <w:lang w:val="en-US"/>
        </w:rPr>
        <w:footnoteReference w:id="13"/>
      </w:r>
      <w:r w:rsidRPr="009761C2" w:rsidR="00530B63">
        <w:rPr>
          <w:rFonts w:cs="Arial"/>
          <w:szCs w:val="18"/>
        </w:rPr>
        <w:t xml:space="preserve"> Dit geldt ook voor </w:t>
      </w:r>
      <w:r w:rsidR="00E0134F">
        <w:rPr>
          <w:rFonts w:cs="Arial"/>
          <w:szCs w:val="18"/>
        </w:rPr>
        <w:t xml:space="preserve">mogelijke </w:t>
      </w:r>
      <w:r w:rsidRPr="009761C2" w:rsidR="00530B63">
        <w:rPr>
          <w:rFonts w:cs="Arial"/>
          <w:szCs w:val="18"/>
        </w:rPr>
        <w:t>toekomstige administratieve richtsnoeren die door het IF</w:t>
      </w:r>
      <w:r w:rsidR="00E0134F">
        <w:rPr>
          <w:rFonts w:cs="Arial"/>
          <w:szCs w:val="18"/>
        </w:rPr>
        <w:t xml:space="preserve"> </w:t>
      </w:r>
      <w:r w:rsidRPr="009761C2" w:rsidR="00530B63">
        <w:rPr>
          <w:rFonts w:cs="Arial"/>
          <w:szCs w:val="18"/>
        </w:rPr>
        <w:t>zullen worden gepubliceerd. In sommige gevallen bevatten de administratieve richtsnoeren verduidelijkingen die louter zien op de uitleg of interpretatie van maatregelen die al zijn opgenomen in de WMB</w:t>
      </w:r>
      <w:r w:rsidR="00661F20">
        <w:rPr>
          <w:rFonts w:cs="Arial"/>
          <w:szCs w:val="18"/>
        </w:rPr>
        <w:t> </w:t>
      </w:r>
      <w:r w:rsidRPr="009761C2" w:rsidR="00530B63">
        <w:rPr>
          <w:rFonts w:cs="Arial"/>
          <w:szCs w:val="18"/>
        </w:rPr>
        <w:t>2024. Voor dergelijke verduidelijkingen geldt dat d</w:t>
      </w:r>
      <w:r w:rsidR="004A7027">
        <w:rPr>
          <w:rFonts w:cs="Arial"/>
          <w:szCs w:val="18"/>
        </w:rPr>
        <w:t>eze</w:t>
      </w:r>
      <w:r w:rsidRPr="009761C2" w:rsidR="00530B63">
        <w:rPr>
          <w:rFonts w:cs="Arial"/>
          <w:szCs w:val="18"/>
        </w:rPr>
        <w:t xml:space="preserve"> geen aanleiding ge</w:t>
      </w:r>
      <w:r w:rsidR="004A7027">
        <w:rPr>
          <w:rFonts w:cs="Arial"/>
          <w:szCs w:val="18"/>
        </w:rPr>
        <w:t>ven</w:t>
      </w:r>
      <w:r w:rsidRPr="009761C2" w:rsidR="00530B63">
        <w:rPr>
          <w:rFonts w:cs="Arial"/>
          <w:szCs w:val="18"/>
        </w:rPr>
        <w:t xml:space="preserve"> om de WMB 2024 aan te passen of aan te vullen. In dit kader is van belang dat </w:t>
      </w:r>
      <w:r w:rsidRPr="009761C2" w:rsidR="004017E1">
        <w:rPr>
          <w:rFonts w:cs="Arial"/>
          <w:szCs w:val="18"/>
        </w:rPr>
        <w:t>in de preambule bij de EU-richtlijn minimumniveau van belastingheffing is geëxpliciteerd dat de EU-lidstaten bij de uitvoering van de richtlijn de OESO-modelregels</w:t>
      </w:r>
      <w:r w:rsidRPr="009761C2" w:rsidR="004017E1">
        <w:rPr>
          <w:rFonts w:cs="Arial"/>
          <w:szCs w:val="18"/>
          <w:vertAlign w:val="superscript"/>
          <w:lang w:val="en-US"/>
        </w:rPr>
        <w:footnoteReference w:id="14"/>
      </w:r>
      <w:r w:rsidRPr="009761C2" w:rsidR="004017E1">
        <w:rPr>
          <w:rFonts w:cs="Arial"/>
          <w:szCs w:val="18"/>
        </w:rPr>
        <w:t xml:space="preserve"> en de toelichtingen en voorbeelden in het OESO-commentaar op de modelregels, alsook </w:t>
      </w:r>
      <w:r w:rsidRPr="009761C2" w:rsidR="00882715">
        <w:rPr>
          <w:rFonts w:cs="Arial"/>
          <w:szCs w:val="18"/>
        </w:rPr>
        <w:t>de administratieve richtsnoeren</w:t>
      </w:r>
      <w:r w:rsidRPr="009761C2" w:rsidR="004017E1">
        <w:rPr>
          <w:rFonts w:cs="Arial"/>
          <w:szCs w:val="18"/>
        </w:rPr>
        <w:t xml:space="preserve"> met inbegrip van de</w:t>
      </w:r>
      <w:r w:rsidRPr="009761C2" w:rsidR="00541F02">
        <w:rPr>
          <w:rFonts w:cs="Arial"/>
          <w:szCs w:val="18"/>
        </w:rPr>
        <w:t xml:space="preserve"> </w:t>
      </w:r>
      <w:proofErr w:type="spellStart"/>
      <w:r w:rsidRPr="009761C2" w:rsidR="00541F02">
        <w:rPr>
          <w:rFonts w:cs="Arial"/>
          <w:szCs w:val="18"/>
        </w:rPr>
        <w:t>veiligehavenregels</w:t>
      </w:r>
      <w:proofErr w:type="spellEnd"/>
      <w:r w:rsidRPr="009761C2" w:rsidR="004017E1">
        <w:rPr>
          <w:rFonts w:cs="Arial"/>
          <w:szCs w:val="18"/>
        </w:rPr>
        <w:t>, moeten gebruiken als bron van illustratie of interpretatie om te zorgen voor consistentie in de toepassing</w:t>
      </w:r>
      <w:r w:rsidRPr="009761C2" w:rsidR="00882715">
        <w:rPr>
          <w:rFonts w:cs="Arial"/>
          <w:szCs w:val="18"/>
        </w:rPr>
        <w:t xml:space="preserve"> van deze regels</w:t>
      </w:r>
      <w:r w:rsidRPr="009761C2" w:rsidR="004017E1">
        <w:rPr>
          <w:rFonts w:cs="Arial"/>
          <w:szCs w:val="18"/>
        </w:rPr>
        <w:t xml:space="preserve"> in alle lidstaten, voor zover die bronnen </w:t>
      </w:r>
      <w:r w:rsidRPr="009761C2" w:rsidR="00882715">
        <w:rPr>
          <w:rFonts w:cs="Arial"/>
          <w:szCs w:val="18"/>
        </w:rPr>
        <w:t>in overeenstemming</w:t>
      </w:r>
      <w:r w:rsidRPr="009761C2" w:rsidR="004017E1">
        <w:rPr>
          <w:rFonts w:cs="Arial"/>
          <w:szCs w:val="18"/>
        </w:rPr>
        <w:t xml:space="preserve"> zijn met deze richtlijn en met het Unierecht.</w:t>
      </w:r>
      <w:r w:rsidRPr="009761C2" w:rsidR="004017E1">
        <w:rPr>
          <w:rFonts w:cs="Arial"/>
          <w:szCs w:val="18"/>
          <w:vertAlign w:val="superscript"/>
          <w:lang w:val="en-US"/>
        </w:rPr>
        <w:footnoteReference w:id="15"/>
      </w:r>
      <w:r w:rsidRPr="009761C2" w:rsidR="004017E1">
        <w:rPr>
          <w:rFonts w:cs="Arial"/>
          <w:szCs w:val="18"/>
        </w:rPr>
        <w:t xml:space="preserve"> </w:t>
      </w:r>
      <w:r w:rsidRPr="009761C2" w:rsidR="00530B63">
        <w:rPr>
          <w:rFonts w:cs="Arial"/>
          <w:szCs w:val="18"/>
        </w:rPr>
        <w:t>De wetteksten en de artikelsgewijze toelichting zoals opgenomen in de WMB 2024 zijn daarom mede gebaseerd op de OESO-modelregels en het commentaar daarop.</w:t>
      </w:r>
      <w:r w:rsidRPr="00AF52A0" w:rsidR="00E130E1">
        <w:rPr>
          <w:rFonts w:cs="Arial"/>
          <w:szCs w:val="18"/>
        </w:rPr>
        <w:t xml:space="preserve"> Voor de interpretatie van (thans) geldende wetgeving geldt </w:t>
      </w:r>
      <w:r w:rsidR="00C52E8A">
        <w:rPr>
          <w:rFonts w:cs="Arial"/>
          <w:szCs w:val="18"/>
        </w:rPr>
        <w:t>–</w:t>
      </w:r>
      <w:r w:rsidRPr="00AF52A0" w:rsidR="00E130E1">
        <w:rPr>
          <w:rFonts w:cs="Arial"/>
          <w:szCs w:val="18"/>
        </w:rPr>
        <w:t xml:space="preserve"> in zijn algemeenheid </w:t>
      </w:r>
      <w:r w:rsidR="00C52E8A">
        <w:rPr>
          <w:rFonts w:cs="Arial"/>
          <w:szCs w:val="18"/>
        </w:rPr>
        <w:t>–</w:t>
      </w:r>
      <w:r w:rsidRPr="00AF52A0" w:rsidR="000549C9">
        <w:rPr>
          <w:rFonts w:cs="Arial"/>
          <w:szCs w:val="18"/>
        </w:rPr>
        <w:t xml:space="preserve"> dat</w:t>
      </w:r>
      <w:r w:rsidRPr="00AF52A0" w:rsidR="00E130E1">
        <w:rPr>
          <w:rFonts w:cs="Arial"/>
          <w:szCs w:val="18"/>
        </w:rPr>
        <w:t xml:space="preserve"> n</w:t>
      </w:r>
      <w:r w:rsidRPr="009761C2" w:rsidR="00E130E1">
        <w:rPr>
          <w:rFonts w:cs="Arial"/>
          <w:szCs w:val="18"/>
        </w:rPr>
        <w:t>aderhand verschen</w:t>
      </w:r>
      <w:r w:rsidRPr="009761C2" w:rsidR="00882715">
        <w:rPr>
          <w:rFonts w:cs="Arial"/>
          <w:szCs w:val="18"/>
        </w:rPr>
        <w:t>en</w:t>
      </w:r>
      <w:r w:rsidRPr="009761C2" w:rsidR="00E130E1">
        <w:rPr>
          <w:rFonts w:cs="Arial"/>
          <w:szCs w:val="18"/>
        </w:rPr>
        <w:t xml:space="preserve"> OESO-commentaar, cijfervoorbeelden</w:t>
      </w:r>
      <w:r w:rsidRPr="009761C2" w:rsidR="000549C9">
        <w:rPr>
          <w:rFonts w:cs="Arial"/>
          <w:szCs w:val="18"/>
        </w:rPr>
        <w:t xml:space="preserve"> en </w:t>
      </w:r>
      <w:r w:rsidRPr="009761C2" w:rsidR="00E130E1">
        <w:rPr>
          <w:rFonts w:cs="Arial"/>
          <w:szCs w:val="18"/>
        </w:rPr>
        <w:t xml:space="preserve">nadere </w:t>
      </w:r>
      <w:r w:rsidRPr="009761C2" w:rsidR="00882715">
        <w:rPr>
          <w:rFonts w:cs="Arial"/>
          <w:szCs w:val="18"/>
        </w:rPr>
        <w:t>verduidelijkingen</w:t>
      </w:r>
      <w:r w:rsidRPr="009761C2" w:rsidR="00E130E1">
        <w:rPr>
          <w:rFonts w:cs="Arial"/>
          <w:szCs w:val="18"/>
        </w:rPr>
        <w:t xml:space="preserve"> van het commentaar als interpretatiebron </w:t>
      </w:r>
      <w:r w:rsidRPr="009761C2" w:rsidR="000549C9">
        <w:rPr>
          <w:rFonts w:cs="Arial"/>
          <w:szCs w:val="18"/>
        </w:rPr>
        <w:t xml:space="preserve">kan </w:t>
      </w:r>
      <w:r w:rsidRPr="009761C2" w:rsidR="00E130E1">
        <w:rPr>
          <w:rFonts w:cs="Arial"/>
          <w:szCs w:val="18"/>
        </w:rPr>
        <w:t xml:space="preserve">dienen. </w:t>
      </w:r>
      <w:bookmarkStart w:name="_Toc210991383" w:id="5"/>
    </w:p>
    <w:p w:rsidRPr="009761C2" w:rsidR="00785DE4" w:rsidP="00FC4924" w:rsidRDefault="00785DE4" w14:paraId="391FABF2" w14:textId="77777777">
      <w:pPr>
        <w:contextualSpacing/>
        <w:rPr>
          <w:rFonts w:cs="Arial"/>
          <w:szCs w:val="18"/>
        </w:rPr>
      </w:pPr>
    </w:p>
    <w:p w:rsidR="00D14E61" w:rsidP="00FC4924" w:rsidRDefault="00FC4924" w14:paraId="088C1E58" w14:textId="2577D4AE">
      <w:pPr>
        <w:pStyle w:val="Kop1"/>
        <w:numPr>
          <w:ilvl w:val="0"/>
          <w:numId w:val="0"/>
        </w:numPr>
        <w:ind w:left="708" w:firstLine="708"/>
      </w:pPr>
      <w:bookmarkStart w:name="_Toc211438729" w:id="6"/>
      <w:r w:rsidRPr="009761C2">
        <w:t xml:space="preserve">4. </w:t>
      </w:r>
      <w:r w:rsidRPr="009761C2" w:rsidR="00D22B98">
        <w:t>Terugwerkende kracht</w:t>
      </w:r>
      <w:bookmarkEnd w:id="5"/>
      <w:bookmarkEnd w:id="6"/>
    </w:p>
    <w:p w:rsidRPr="00676B18" w:rsidR="00676B18" w:rsidP="00676B18" w:rsidRDefault="00676B18" w14:paraId="10C6C7B8" w14:textId="77777777">
      <w:pPr>
        <w:rPr>
          <w:lang w:eastAsia="en-US"/>
        </w:rPr>
      </w:pPr>
    </w:p>
    <w:p w:rsidRPr="009761C2" w:rsidR="00E0029B" w:rsidP="005A607D" w:rsidRDefault="00C62088" w14:paraId="064A96B1" w14:textId="4F5ECF1B">
      <w:pPr>
        <w:contextualSpacing/>
      </w:pPr>
      <w:r w:rsidRPr="009761C2">
        <w:rPr>
          <w:rFonts w:cs="Arial"/>
          <w:szCs w:val="18"/>
        </w:rPr>
        <w:t>De leden van de fractie</w:t>
      </w:r>
      <w:r w:rsidRPr="009761C2" w:rsidR="00B33808">
        <w:rPr>
          <w:rFonts w:cs="Arial"/>
          <w:szCs w:val="18"/>
        </w:rPr>
        <w:t>s</w:t>
      </w:r>
      <w:r w:rsidRPr="009761C2">
        <w:rPr>
          <w:rFonts w:cs="Arial"/>
          <w:szCs w:val="18"/>
        </w:rPr>
        <w:t xml:space="preserve"> van </w:t>
      </w:r>
      <w:r w:rsidRPr="009761C2" w:rsidR="007C77BC">
        <w:rPr>
          <w:rFonts w:cs="Arial"/>
          <w:szCs w:val="18"/>
        </w:rPr>
        <w:t>GroenLinks</w:t>
      </w:r>
      <w:r w:rsidR="004A7027">
        <w:rPr>
          <w:rFonts w:cs="Arial"/>
          <w:szCs w:val="18"/>
        </w:rPr>
        <w:t>-PvdA</w:t>
      </w:r>
      <w:r w:rsidRPr="009761C2" w:rsidR="007C77BC">
        <w:rPr>
          <w:rFonts w:cs="Arial"/>
          <w:szCs w:val="18"/>
        </w:rPr>
        <w:t xml:space="preserve"> </w:t>
      </w:r>
      <w:r w:rsidRPr="009761C2" w:rsidR="00D14E61">
        <w:rPr>
          <w:rFonts w:cs="Arial"/>
          <w:szCs w:val="18"/>
        </w:rPr>
        <w:t xml:space="preserve">en </w:t>
      </w:r>
      <w:r w:rsidRPr="009761C2">
        <w:rPr>
          <w:rFonts w:cs="Arial"/>
          <w:szCs w:val="18"/>
        </w:rPr>
        <w:t>de VVD</w:t>
      </w:r>
      <w:r w:rsidRPr="009761C2" w:rsidR="00B33808">
        <w:rPr>
          <w:rFonts w:cs="Arial"/>
          <w:szCs w:val="18"/>
        </w:rPr>
        <w:t xml:space="preserve"> </w:t>
      </w:r>
      <w:r w:rsidRPr="009761C2">
        <w:rPr>
          <w:rFonts w:cs="Arial"/>
          <w:szCs w:val="18"/>
        </w:rPr>
        <w:t>vragen inzichtelijk te maken in welke specifieke bepalingen sprake is van terugwerkende kracht</w:t>
      </w:r>
      <w:r w:rsidRPr="009761C2" w:rsidR="00B33808">
        <w:rPr>
          <w:rFonts w:cs="Arial"/>
          <w:szCs w:val="18"/>
        </w:rPr>
        <w:t xml:space="preserve">. </w:t>
      </w:r>
      <w:r w:rsidRPr="009761C2" w:rsidR="00E31A49">
        <w:rPr>
          <w:rFonts w:cs="Arial"/>
          <w:szCs w:val="18"/>
        </w:rPr>
        <w:t>Verder vragen de</w:t>
      </w:r>
      <w:r w:rsidRPr="009761C2" w:rsidR="00D14E61">
        <w:rPr>
          <w:rFonts w:cs="Arial"/>
          <w:szCs w:val="18"/>
        </w:rPr>
        <w:t xml:space="preserve"> leden van de fractie van GroenLinks-PvdA het kabinet toe te lichten wat de gevolgen voor belastingplichtige bedrijven zijn van de voorgestelde terugwerkende kracht van het wetsvoorstel. </w:t>
      </w:r>
      <w:r w:rsidRPr="009761C2" w:rsidR="00B33808">
        <w:rPr>
          <w:rFonts w:cs="Arial"/>
          <w:szCs w:val="18"/>
        </w:rPr>
        <w:t xml:space="preserve">De leden van de fractie van de VVD vragen </w:t>
      </w:r>
      <w:r w:rsidRPr="009761C2" w:rsidR="00E31A49">
        <w:rPr>
          <w:rFonts w:cs="Arial"/>
          <w:szCs w:val="18"/>
        </w:rPr>
        <w:t xml:space="preserve">daarnaast </w:t>
      </w:r>
      <w:r w:rsidRPr="009761C2">
        <w:rPr>
          <w:rFonts w:cs="Arial"/>
          <w:szCs w:val="18"/>
        </w:rPr>
        <w:t>welke rechtvaardiging</w:t>
      </w:r>
      <w:r w:rsidRPr="009761C2" w:rsidR="00F21428">
        <w:rPr>
          <w:rFonts w:cs="Arial"/>
          <w:szCs w:val="18"/>
        </w:rPr>
        <w:t xml:space="preserve"> geldt</w:t>
      </w:r>
      <w:r w:rsidRPr="009761C2">
        <w:rPr>
          <w:rFonts w:cs="Arial"/>
          <w:szCs w:val="18"/>
        </w:rPr>
        <w:t xml:space="preserve"> </w:t>
      </w:r>
      <w:r w:rsidRPr="009761C2" w:rsidR="00B33808">
        <w:rPr>
          <w:rFonts w:cs="Arial"/>
          <w:szCs w:val="18"/>
        </w:rPr>
        <w:t>voor deze terugwerkende kracht</w:t>
      </w:r>
      <w:r w:rsidRPr="009761C2">
        <w:rPr>
          <w:rFonts w:cs="Arial"/>
          <w:szCs w:val="18"/>
        </w:rPr>
        <w:t>.</w:t>
      </w:r>
      <w:r w:rsidRPr="009761C2" w:rsidR="0053772D">
        <w:rPr>
          <w:rFonts w:cs="Arial"/>
          <w:szCs w:val="18"/>
        </w:rPr>
        <w:t xml:space="preserve"> Deze leden vragen of het kabinet berei</w:t>
      </w:r>
      <w:r w:rsidRPr="009761C2" w:rsidR="00973498">
        <w:rPr>
          <w:rFonts w:cs="Arial"/>
          <w:szCs w:val="18"/>
        </w:rPr>
        <w:t>d</w:t>
      </w:r>
      <w:r w:rsidRPr="009761C2" w:rsidR="0053772D">
        <w:rPr>
          <w:rFonts w:cs="Arial"/>
          <w:szCs w:val="18"/>
        </w:rPr>
        <w:t xml:space="preserve"> is om, waar mogelijk, </w:t>
      </w:r>
      <w:r w:rsidRPr="009761C2" w:rsidR="00E0029B">
        <w:rPr>
          <w:rFonts w:cs="Arial"/>
          <w:szCs w:val="18"/>
        </w:rPr>
        <w:t xml:space="preserve">de </w:t>
      </w:r>
      <w:r w:rsidRPr="00281656" w:rsidR="00281656">
        <w:rPr>
          <w:rFonts w:cs="Arial"/>
          <w:szCs w:val="18"/>
        </w:rPr>
        <w:t>inwerkingtredings</w:t>
      </w:r>
      <w:r w:rsidR="00281656">
        <w:rPr>
          <w:rFonts w:cs="Arial"/>
          <w:szCs w:val="18"/>
        </w:rPr>
        <w:t>data</w:t>
      </w:r>
      <w:r w:rsidRPr="00281656" w:rsidDel="00281656" w:rsidR="00281656">
        <w:rPr>
          <w:rFonts w:cs="Arial"/>
          <w:szCs w:val="18"/>
        </w:rPr>
        <w:t xml:space="preserve"> </w:t>
      </w:r>
      <w:r w:rsidRPr="009761C2" w:rsidR="00E0029B">
        <w:rPr>
          <w:rFonts w:cs="Arial"/>
          <w:szCs w:val="18"/>
        </w:rPr>
        <w:t xml:space="preserve">te uniformeren, of </w:t>
      </w:r>
      <w:r w:rsidRPr="009761C2" w:rsidR="0053772D">
        <w:rPr>
          <w:rFonts w:cs="Arial"/>
          <w:szCs w:val="18"/>
        </w:rPr>
        <w:t>overgangsrecht of een hardheidsclausule te introduceren om te voorkomen dat belastingplichtigen onevenredig worden benadeeld.</w:t>
      </w:r>
      <w:r w:rsidRPr="009761C2" w:rsidR="00E0029B">
        <w:rPr>
          <w:rFonts w:cs="Arial"/>
          <w:szCs w:val="18"/>
        </w:rPr>
        <w:t xml:space="preserve"> </w:t>
      </w:r>
      <w:r w:rsidRPr="009761C2" w:rsidR="00A46C51">
        <w:rPr>
          <w:rFonts w:cs="Arial"/>
          <w:szCs w:val="18"/>
        </w:rPr>
        <w:t xml:space="preserve">Het IF noch de OESO kunnen bindende wetgeving vaststellen. Om de consistente toepassing van de OESO-regels over de minimumbelasting te bevorderen en om discrepanties met de toepassing van de regels ten aanzien van andere staten te voorkomen, acht het kabinet het van belang om de administratieve richtsnoeren – voor zover nodig – in de Nederlandse regelgeving te verankeren. </w:t>
      </w:r>
      <w:r w:rsidRPr="009761C2" w:rsidR="00280894">
        <w:rPr>
          <w:rFonts w:cs="Arial"/>
          <w:szCs w:val="18"/>
        </w:rPr>
        <w:t xml:space="preserve">De OESO-modelregels vormen namelijk een samenhangend geheel aan maatregelen </w:t>
      </w:r>
      <w:r w:rsidRPr="009761C2" w:rsidR="00E31A49">
        <w:rPr>
          <w:rFonts w:cs="Arial"/>
          <w:szCs w:val="18"/>
        </w:rPr>
        <w:t>waarbij wordt voorkomen</w:t>
      </w:r>
      <w:r w:rsidRPr="009761C2" w:rsidR="00280894">
        <w:rPr>
          <w:rFonts w:cs="Arial"/>
          <w:szCs w:val="18"/>
        </w:rPr>
        <w:t xml:space="preserve"> dat deze maatregelen (door verschillende staten) meerdere keren worden toegepast ter zake van hetzelfde inkomensbestanddeel. Dit wordt bewerkstelligd door een overeengekomen rangorde en allocatie van de </w:t>
      </w:r>
      <w:proofErr w:type="spellStart"/>
      <w:r w:rsidRPr="009761C2" w:rsidR="00280894">
        <w:rPr>
          <w:rFonts w:cs="Arial"/>
          <w:szCs w:val="18"/>
        </w:rPr>
        <w:t>bijheffing</w:t>
      </w:r>
      <w:proofErr w:type="spellEnd"/>
      <w:r w:rsidRPr="009761C2" w:rsidR="00280894">
        <w:rPr>
          <w:rFonts w:cs="Arial"/>
          <w:szCs w:val="18"/>
        </w:rPr>
        <w:t xml:space="preserve">(en) aan de staten waarin een </w:t>
      </w:r>
      <w:r w:rsidR="00AD2F7C">
        <w:rPr>
          <w:rFonts w:cs="Arial"/>
          <w:szCs w:val="18"/>
        </w:rPr>
        <w:t>(</w:t>
      </w:r>
      <w:r w:rsidRPr="009761C2" w:rsidR="00280894">
        <w:rPr>
          <w:rFonts w:cs="Arial"/>
          <w:szCs w:val="18"/>
        </w:rPr>
        <w:t>multinationale</w:t>
      </w:r>
      <w:r w:rsidR="00AD2F7C">
        <w:rPr>
          <w:rFonts w:cs="Arial"/>
          <w:szCs w:val="18"/>
        </w:rPr>
        <w:t>)</w:t>
      </w:r>
      <w:r w:rsidRPr="009761C2" w:rsidR="00280894">
        <w:rPr>
          <w:rFonts w:cs="Arial"/>
          <w:szCs w:val="18"/>
        </w:rPr>
        <w:t xml:space="preserve"> groep is gevestigd of een onderneming heeft. </w:t>
      </w:r>
      <w:r w:rsidRPr="007D3FEC" w:rsidR="00A46C51">
        <w:rPr>
          <w:rFonts w:cs="Arial"/>
          <w:szCs w:val="18"/>
        </w:rPr>
        <w:t>Het kabinet streeft ernaar om deze administratieve richtsnoeren zo snel mogelijk om te zetten in regelgeving.</w:t>
      </w:r>
      <w:r w:rsidRPr="007D3FEC" w:rsidR="00A46C51">
        <w:rPr>
          <w:rFonts w:cs="Arial"/>
          <w:szCs w:val="18"/>
          <w:vertAlign w:val="superscript"/>
          <w:lang w:val="en-US"/>
        </w:rPr>
        <w:footnoteReference w:id="16"/>
      </w:r>
      <w:r w:rsidRPr="007D3FEC" w:rsidR="00A46C51">
        <w:rPr>
          <w:rFonts w:cs="Arial"/>
          <w:szCs w:val="18"/>
        </w:rPr>
        <w:t xml:space="preserve"> In dit kader is van belang dat op OESO-niveau een peer review proces is vormgegeven om te beoordelen welke landen kwalificerende maatregelen hebben geïmplementeerd. Hierbij is het van belang</w:t>
      </w:r>
      <w:r w:rsidRPr="009761C2" w:rsidR="00A46C51">
        <w:rPr>
          <w:rFonts w:cs="Arial"/>
          <w:szCs w:val="18"/>
        </w:rPr>
        <w:t xml:space="preserve"> dat naast de OESO-modelregels, ook de administratieve richtsnoeren tijdig zijn opgenomen in de Nederlandse regelgeving. Indien de bepalingen uit de administratieve richtsnoeren niet binnen twee jaar na de publicatie daarvan zijn ingevoerd, zou dat gevolgen kunnen hebben voor </w:t>
      </w:r>
      <w:r w:rsidRPr="009761C2" w:rsidR="005060B2">
        <w:rPr>
          <w:rFonts w:cs="Arial"/>
          <w:szCs w:val="18"/>
        </w:rPr>
        <w:t xml:space="preserve">het peer review proces en </w:t>
      </w:r>
      <w:r w:rsidRPr="009761C2" w:rsidR="00A46C51">
        <w:rPr>
          <w:rFonts w:cs="Arial"/>
          <w:szCs w:val="18"/>
        </w:rPr>
        <w:t xml:space="preserve">de kwalificerende status van de maatregelen in de WMB 2024. </w:t>
      </w:r>
      <w:r w:rsidRPr="009761C2" w:rsidR="00E0029B">
        <w:t xml:space="preserve">Met </w:t>
      </w:r>
      <w:r w:rsidRPr="009761C2" w:rsidR="005060B2">
        <w:t>het</w:t>
      </w:r>
      <w:r w:rsidRPr="009761C2" w:rsidR="00E0029B">
        <w:t xml:space="preserve"> peer review proces wordt beoordeeld welke landen een kwalificerende inkomen-inclusiemaatregel en een kwalificerende binnenlandse </w:t>
      </w:r>
      <w:proofErr w:type="spellStart"/>
      <w:r w:rsidRPr="009761C2" w:rsidR="00E0029B">
        <w:t>bijheffing</w:t>
      </w:r>
      <w:r w:rsidR="00AD2F7C">
        <w:t>s</w:t>
      </w:r>
      <w:r w:rsidRPr="009761C2" w:rsidR="00E0029B">
        <w:t>maatregel</w:t>
      </w:r>
      <w:proofErr w:type="spellEnd"/>
      <w:r w:rsidRPr="009761C2" w:rsidDel="008B3297" w:rsidR="00E0029B">
        <w:t xml:space="preserve"> </w:t>
      </w:r>
      <w:r w:rsidRPr="009761C2" w:rsidR="00E0029B">
        <w:t>hebben geïmplementeerd. De status van een kwalificerende maatregel is van belang om de rangorde tussen de verschillende maatregelen te bepalen, en draagt bij aan de consistente toepassing van de Pijler 2-regels.</w:t>
      </w:r>
      <w:r w:rsidRPr="009761C2" w:rsidR="00E0029B">
        <w:rPr>
          <w:rStyle w:val="Voetnootmarkering"/>
        </w:rPr>
        <w:footnoteReference w:id="17"/>
      </w:r>
      <w:r w:rsidRPr="009761C2" w:rsidR="00E0029B">
        <w:t xml:space="preserve"> </w:t>
      </w:r>
      <w:r w:rsidR="004A7027">
        <w:t>Welke s</w:t>
      </w:r>
      <w:r w:rsidRPr="009761C2" w:rsidR="00E0029B">
        <w:t>taten op basis van het tijdelijke kwalificatieproces, gebaseerd op een beoordeling door de staat zelf, kwalificerende maatregelen hebben geïmplementeerd, word</w:t>
      </w:r>
      <w:r w:rsidR="004A7027">
        <w:t>t</w:t>
      </w:r>
      <w:r w:rsidRPr="009761C2" w:rsidR="00E0029B">
        <w:t xml:space="preserve"> door de OESO bijgehouden in een overzicht.</w:t>
      </w:r>
      <w:r w:rsidRPr="009761C2" w:rsidR="00E0029B">
        <w:rPr>
          <w:rStyle w:val="Voetnootmarkering"/>
        </w:rPr>
        <w:footnoteReference w:id="18"/>
      </w:r>
      <w:r w:rsidRPr="009761C2" w:rsidR="00E0029B">
        <w:t xml:space="preserve"> Vervolgens zal er na dit tijdelijke kwalificatieproces een meer gedetailleerde beoordeling van de wetgeving van staten met Pijler 2-regels plaatsvinden en zal de wetgeving onderworpen worden aan een monitoringsproces. </w:t>
      </w:r>
    </w:p>
    <w:p w:rsidRPr="009761C2" w:rsidR="005060B2" w:rsidP="005060B2" w:rsidRDefault="00AD2F7C" w14:paraId="056DAD5C" w14:textId="497F82D4">
      <w:r w:rsidRPr="009761C2">
        <w:rPr>
          <w:rFonts w:cs="Arial"/>
          <w:szCs w:val="18"/>
        </w:rPr>
        <w:t>De administratieve richtsnoeren</w:t>
      </w:r>
      <w:r>
        <w:rPr>
          <w:rFonts w:cs="Arial"/>
          <w:szCs w:val="18"/>
        </w:rPr>
        <w:t xml:space="preserve"> die worden overeengekomen binnen het IF</w:t>
      </w:r>
      <w:r w:rsidRPr="009761C2">
        <w:rPr>
          <w:rFonts w:cs="Arial"/>
          <w:szCs w:val="18"/>
        </w:rPr>
        <w:t xml:space="preserve"> worden van geval tot geval beoordeeld om te bepalen of de wettekst en de toelichting van de WMB 2024 aanpassing behoeven. Indien de wettekst aanpassing behoeft, wordt eveneens beoordeeld of </w:t>
      </w:r>
      <w:r w:rsidR="004A7027">
        <w:rPr>
          <w:rFonts w:cs="Arial"/>
          <w:szCs w:val="18"/>
        </w:rPr>
        <w:t xml:space="preserve">aan </w:t>
      </w:r>
      <w:r w:rsidRPr="009761C2">
        <w:rPr>
          <w:rFonts w:cs="Arial"/>
          <w:szCs w:val="18"/>
        </w:rPr>
        <w:t xml:space="preserve">een voorgestelde aanpassing van de wetgeving terugwerkende kracht dient te worden verleend. </w:t>
      </w:r>
      <w:r>
        <w:rPr>
          <w:rFonts w:cs="Arial"/>
          <w:bCs/>
          <w:szCs w:val="18"/>
        </w:rPr>
        <w:t>Het</w:t>
      </w:r>
      <w:r w:rsidRPr="009761C2" w:rsidR="00A46C51">
        <w:rPr>
          <w:rFonts w:cs="Arial"/>
          <w:szCs w:val="18"/>
        </w:rPr>
        <w:t xml:space="preserve"> kabinet</w:t>
      </w:r>
      <w:r>
        <w:rPr>
          <w:rFonts w:cs="Arial"/>
          <w:szCs w:val="18"/>
        </w:rPr>
        <w:t xml:space="preserve"> heeft</w:t>
      </w:r>
      <w:r w:rsidRPr="009761C2" w:rsidR="00A46C51">
        <w:rPr>
          <w:rFonts w:cs="Arial"/>
          <w:szCs w:val="18"/>
        </w:rPr>
        <w:t xml:space="preserve"> besloten om aan de in dit wetsvoorstel voorgestelde wijzigingen (eveneens) zoveel mogelijk terugwerkende kracht te verlenen tot en met </w:t>
      </w:r>
      <w:r w:rsidRPr="009761C2" w:rsidR="00595588">
        <w:rPr>
          <w:rFonts w:cs="Arial"/>
          <w:szCs w:val="18"/>
        </w:rPr>
        <w:t xml:space="preserve">de inwerkingtreding van de WMB 2024, namelijk </w:t>
      </w:r>
      <w:r w:rsidRPr="009761C2" w:rsidR="00A46C51">
        <w:rPr>
          <w:rFonts w:cs="Arial"/>
          <w:szCs w:val="18"/>
        </w:rPr>
        <w:t>31 december 2023</w:t>
      </w:r>
      <w:r w:rsidRPr="009761C2" w:rsidR="00595588">
        <w:rPr>
          <w:rFonts w:cs="Arial"/>
          <w:szCs w:val="18"/>
        </w:rPr>
        <w:t>,</w:t>
      </w:r>
      <w:r w:rsidRPr="009761C2" w:rsidR="00A46C51">
        <w:rPr>
          <w:rFonts w:cs="Arial"/>
          <w:szCs w:val="18"/>
        </w:rPr>
        <w:t xml:space="preserve"> en deze wijzigingen toepassing te laten vinden met betrekking tot verslagjaren die aanvangen op of na 31 december 2023. Hiermee wordt voorkomen dat er mismatches kunnen ontstaan in de toepassing van de regels ten opzichte van andere staten, wat onzekerheid en mogelijk dubbele belasting en dubbele niet-belasting tot gevolg kan hebben. </w:t>
      </w:r>
      <w:r w:rsidRPr="009761C2" w:rsidR="005060B2">
        <w:t xml:space="preserve">Daarnaast is een voortvarende wettelijke verankering van belang om belastingplichtigen voorafgaand aan de indiening van de eerste aangiften, duidelijkheid te geven omtrent de toepassing van de administratieve richtsnoeren. In dit kader is </w:t>
      </w:r>
      <w:r w:rsidRPr="009761C2" w:rsidR="000F7AC3">
        <w:t>relevant</w:t>
      </w:r>
      <w:r w:rsidRPr="009761C2" w:rsidR="005060B2">
        <w:t xml:space="preserve"> dat de eerste </w:t>
      </w:r>
      <w:proofErr w:type="spellStart"/>
      <w:r w:rsidRPr="009761C2" w:rsidR="005060B2">
        <w:t>bijheffing</w:t>
      </w:r>
      <w:proofErr w:type="spellEnd"/>
      <w:r w:rsidRPr="009761C2" w:rsidR="005060B2">
        <w:t xml:space="preserve">-informatieaangifte uiterlijk 30 juni 2026 dient te worden ingediend en de eerste belastingaangifte uiterlijk 31 augustus 2026. </w:t>
      </w:r>
    </w:p>
    <w:p w:rsidRPr="009761C2" w:rsidR="00FC4924" w:rsidP="00FC4924" w:rsidRDefault="006D5785" w14:paraId="13F84D7F" w14:textId="30577B53">
      <w:pPr>
        <w:contextualSpacing/>
        <w:rPr>
          <w:rFonts w:cs="Arial"/>
          <w:szCs w:val="18"/>
        </w:rPr>
      </w:pPr>
      <w:r w:rsidRPr="009761C2">
        <w:rPr>
          <w:rFonts w:cs="Arial"/>
          <w:szCs w:val="18"/>
        </w:rPr>
        <w:t xml:space="preserve">Het kabinet erkent uiteraard, net als </w:t>
      </w:r>
      <w:r w:rsidRPr="009761C2" w:rsidR="002A0816">
        <w:rPr>
          <w:rFonts w:cs="Arial"/>
          <w:szCs w:val="18"/>
        </w:rPr>
        <w:t>de leden van de fractie van de VVD</w:t>
      </w:r>
      <w:r w:rsidR="00877815">
        <w:rPr>
          <w:rFonts w:cs="Arial"/>
          <w:szCs w:val="18"/>
        </w:rPr>
        <w:t>,</w:t>
      </w:r>
      <w:r w:rsidRPr="009761C2">
        <w:rPr>
          <w:rFonts w:cs="Arial"/>
          <w:szCs w:val="18"/>
        </w:rPr>
        <w:t xml:space="preserve"> dat terugwerkende kracht spanning oplevert met het rechtszekerheidsbeginsel en dat daarom terugwerkende kracht slechts verdedigbaar is wanneer de gevolgen voor betrokken belastingplichtigen beperkt en goed voorzienbaar </w:t>
      </w:r>
      <w:r w:rsidRPr="009761C2" w:rsidR="000F7AC3">
        <w:rPr>
          <w:rFonts w:cs="Arial"/>
          <w:szCs w:val="18"/>
        </w:rPr>
        <w:t>zijn</w:t>
      </w:r>
      <w:r w:rsidRPr="009761C2">
        <w:rPr>
          <w:rFonts w:cs="Arial"/>
          <w:szCs w:val="18"/>
        </w:rPr>
        <w:t>. Het kabinet hanteert daarom een beleidslijn bij het toekennen van terugwerkende kracht aan belastende fiscale maatregelen.</w:t>
      </w:r>
      <w:r w:rsidRPr="009761C2">
        <w:rPr>
          <w:rStyle w:val="Voetnootmarkering"/>
          <w:rFonts w:cs="Arial"/>
          <w:szCs w:val="18"/>
        </w:rPr>
        <w:footnoteReference w:id="19"/>
      </w:r>
      <w:r w:rsidRPr="009761C2">
        <w:rPr>
          <w:rFonts w:cs="Arial"/>
          <w:szCs w:val="18"/>
        </w:rPr>
        <w:t xml:space="preserve"> </w:t>
      </w:r>
      <w:r w:rsidRPr="009761C2" w:rsidR="002A0816">
        <w:rPr>
          <w:rFonts w:cs="Arial"/>
          <w:szCs w:val="18"/>
        </w:rPr>
        <w:t xml:space="preserve">Ook bij het opstellen van het onderhavige wetsvoorstel is </w:t>
      </w:r>
      <w:r w:rsidR="00E0134F">
        <w:rPr>
          <w:rFonts w:cs="Arial"/>
          <w:szCs w:val="18"/>
        </w:rPr>
        <w:t xml:space="preserve">deze beleidslijn </w:t>
      </w:r>
      <w:r w:rsidRPr="009761C2" w:rsidR="002A0816">
        <w:rPr>
          <w:rFonts w:cs="Arial"/>
          <w:szCs w:val="18"/>
        </w:rPr>
        <w:t xml:space="preserve"> toegepast. </w:t>
      </w:r>
      <w:r w:rsidRPr="009761C2" w:rsidR="00A46C51">
        <w:rPr>
          <w:rFonts w:cs="Arial"/>
          <w:szCs w:val="18"/>
        </w:rPr>
        <w:t>Het kabinet acht de terugwerkende kracht van dit wetsvoorstel</w:t>
      </w:r>
      <w:r w:rsidRPr="009761C2" w:rsidR="002A0816">
        <w:rPr>
          <w:rFonts w:cs="Arial"/>
          <w:szCs w:val="18"/>
        </w:rPr>
        <w:t xml:space="preserve"> </w:t>
      </w:r>
      <w:r w:rsidRPr="009761C2" w:rsidR="00A46C51">
        <w:rPr>
          <w:rFonts w:cs="Arial"/>
          <w:szCs w:val="18"/>
        </w:rPr>
        <w:t>gerechtvaardigd, voor zover deze wijzigingen niet bezwaarlijk zijn voor belastingplichtigen. Als gevolg</w:t>
      </w:r>
      <w:r w:rsidRPr="009761C2" w:rsidR="00B97E62">
        <w:rPr>
          <w:rFonts w:cs="Arial"/>
          <w:szCs w:val="18"/>
        </w:rPr>
        <w:t xml:space="preserve"> hiervan</w:t>
      </w:r>
      <w:r w:rsidRPr="009761C2" w:rsidR="00A46C51">
        <w:rPr>
          <w:rFonts w:cs="Arial"/>
          <w:szCs w:val="18"/>
        </w:rPr>
        <w:t xml:space="preserve"> geldt dat </w:t>
      </w:r>
      <w:r w:rsidRPr="009761C2" w:rsidR="00B97E62">
        <w:rPr>
          <w:rFonts w:cs="Arial"/>
          <w:szCs w:val="18"/>
        </w:rPr>
        <w:t xml:space="preserve">aan </w:t>
      </w:r>
      <w:r w:rsidRPr="009761C2" w:rsidR="008D18B2">
        <w:rPr>
          <w:rFonts w:cs="Arial"/>
          <w:szCs w:val="18"/>
        </w:rPr>
        <w:t>alle bepalingen van het onderhavige</w:t>
      </w:r>
      <w:r w:rsidRPr="009761C2" w:rsidR="00A46C51">
        <w:rPr>
          <w:rFonts w:cs="Arial"/>
          <w:szCs w:val="18"/>
        </w:rPr>
        <w:t xml:space="preserve"> wetsvoorstel terugwerkende kracht </w:t>
      </w:r>
      <w:r w:rsidRPr="009761C2" w:rsidR="00B97E62">
        <w:rPr>
          <w:rFonts w:cs="Arial"/>
          <w:szCs w:val="18"/>
        </w:rPr>
        <w:t>is verleend</w:t>
      </w:r>
      <w:r w:rsidRPr="009761C2" w:rsidR="00A46C51">
        <w:rPr>
          <w:rFonts w:cs="Arial"/>
          <w:szCs w:val="18"/>
        </w:rPr>
        <w:t xml:space="preserve">, met uitzondering </w:t>
      </w:r>
      <w:r w:rsidRPr="009761C2" w:rsidR="008D18B2">
        <w:rPr>
          <w:rFonts w:cs="Arial"/>
          <w:szCs w:val="18"/>
        </w:rPr>
        <w:t xml:space="preserve">van </w:t>
      </w:r>
      <w:r w:rsidRPr="009761C2" w:rsidR="002A0816">
        <w:rPr>
          <w:rFonts w:cs="Arial"/>
          <w:szCs w:val="18"/>
        </w:rPr>
        <w:t>enkele</w:t>
      </w:r>
      <w:r w:rsidRPr="009761C2" w:rsidR="00F21428">
        <w:rPr>
          <w:rFonts w:cs="Arial"/>
          <w:szCs w:val="18"/>
        </w:rPr>
        <w:t xml:space="preserve"> genoemde</w:t>
      </w:r>
      <w:r w:rsidR="00AD2F7C">
        <w:rPr>
          <w:rFonts w:cs="Arial"/>
          <w:szCs w:val="18"/>
        </w:rPr>
        <w:t xml:space="preserve"> bezwarende</w:t>
      </w:r>
      <w:r w:rsidRPr="009761C2" w:rsidR="002A0816">
        <w:rPr>
          <w:rFonts w:cs="Arial"/>
          <w:szCs w:val="18"/>
        </w:rPr>
        <w:t xml:space="preserve"> bepalingen</w:t>
      </w:r>
      <w:r w:rsidRPr="009761C2" w:rsidR="00A46C51">
        <w:rPr>
          <w:rFonts w:cs="Arial"/>
          <w:szCs w:val="18"/>
        </w:rPr>
        <w:t xml:space="preserve">. In </w:t>
      </w:r>
      <w:r w:rsidRPr="009761C2" w:rsidR="008D18B2">
        <w:rPr>
          <w:rFonts w:cs="Arial"/>
          <w:szCs w:val="18"/>
        </w:rPr>
        <w:t>de</w:t>
      </w:r>
      <w:r w:rsidRPr="009761C2" w:rsidR="00A46C51">
        <w:rPr>
          <w:rFonts w:cs="Arial"/>
          <w:szCs w:val="18"/>
        </w:rPr>
        <w:t xml:space="preserve"> memorie van toelichting bij het onderhavige wetsvoorstel is opgesomd welke voorgestelde maatregelen mogelijk bezwarend zijn. Het kabinet is van mening dat de overige voorgestelde wijzigingen niet bezwarend</w:t>
      </w:r>
      <w:r w:rsidRPr="009761C2" w:rsidR="002A0816">
        <w:rPr>
          <w:rFonts w:cs="Arial"/>
          <w:szCs w:val="18"/>
        </w:rPr>
        <w:t xml:space="preserve"> en in sommige gevallen zelfs in het voordeel</w:t>
      </w:r>
      <w:r w:rsidRPr="009761C2" w:rsidR="00A46C51">
        <w:rPr>
          <w:rFonts w:cs="Arial"/>
          <w:szCs w:val="18"/>
        </w:rPr>
        <w:t xml:space="preserve"> zijn voor belastingplichtigen. Deze wijzigingen zullen daarom </w:t>
      </w:r>
      <w:r w:rsidRPr="009761C2" w:rsidR="00A73E45">
        <w:rPr>
          <w:rFonts w:cs="Arial"/>
          <w:szCs w:val="18"/>
        </w:rPr>
        <w:t xml:space="preserve">zoveel mogelijk </w:t>
      </w:r>
      <w:r w:rsidRPr="009761C2" w:rsidR="00A46C51">
        <w:rPr>
          <w:rFonts w:cs="Arial"/>
          <w:szCs w:val="18"/>
        </w:rPr>
        <w:t>in werking treden met ingang van 31 december 2023, en voor het eerst toepassing vinden met betrekking tot verslagjaren die aanvangen op of na 31 december 2023. Het voorgaande laat onverlet dat het kabinet aandacht zal blijven houden voor gevallen waar de maatregelen – waarvoor terugwerkende kracht is verleend – bezwarend uitwerken voor belastingplichtigen</w:t>
      </w:r>
      <w:r w:rsidRPr="009761C2" w:rsidR="00F21428">
        <w:rPr>
          <w:rFonts w:cs="Arial"/>
          <w:szCs w:val="18"/>
        </w:rPr>
        <w:t>.</w:t>
      </w:r>
      <w:r w:rsidRPr="009761C2" w:rsidR="002F20CB">
        <w:rPr>
          <w:rFonts w:cs="Arial"/>
          <w:szCs w:val="18"/>
        </w:rPr>
        <w:t xml:space="preserve"> Op dit moment zijn er</w:t>
      </w:r>
      <w:r w:rsidR="00AD2F7C">
        <w:rPr>
          <w:rFonts w:cs="Arial"/>
          <w:szCs w:val="18"/>
        </w:rPr>
        <w:t xml:space="preserve"> echter</w:t>
      </w:r>
      <w:r w:rsidRPr="009761C2" w:rsidR="002F20CB">
        <w:rPr>
          <w:rFonts w:cs="Arial"/>
          <w:szCs w:val="18"/>
        </w:rPr>
        <w:t xml:space="preserve"> geen concrete situaties bekend waarbij de terugwerkende kracht daadwerkelijk bezwaarlijk uitwerkt.</w:t>
      </w:r>
      <w:r w:rsidRPr="009761C2" w:rsidR="00F21428">
        <w:rPr>
          <w:rFonts w:cs="Arial"/>
          <w:szCs w:val="18"/>
        </w:rPr>
        <w:t xml:space="preserve"> </w:t>
      </w:r>
    </w:p>
    <w:p w:rsidRPr="009761C2" w:rsidR="00FC4924" w:rsidP="00FC4924" w:rsidRDefault="00FC4924" w14:paraId="6436B69E" w14:textId="77777777">
      <w:pPr>
        <w:contextualSpacing/>
        <w:rPr>
          <w:rFonts w:cs="Arial"/>
          <w:szCs w:val="18"/>
        </w:rPr>
      </w:pPr>
    </w:p>
    <w:p w:rsidR="00FC4924" w:rsidP="00AF52A0" w:rsidRDefault="00FC4924" w14:paraId="0A1F5CC0" w14:textId="200E6B4A">
      <w:pPr>
        <w:pStyle w:val="Kop1"/>
        <w:numPr>
          <w:ilvl w:val="0"/>
          <w:numId w:val="0"/>
        </w:numPr>
        <w:ind w:left="708" w:firstLine="708"/>
      </w:pPr>
      <w:bookmarkStart w:name="_Toc211438730" w:id="7"/>
      <w:r w:rsidRPr="009761C2">
        <w:t>5. Internationale ontwikkelingen</w:t>
      </w:r>
      <w:bookmarkEnd w:id="7"/>
    </w:p>
    <w:p w:rsidRPr="00676B18" w:rsidR="00676B18" w:rsidP="00676B18" w:rsidRDefault="00676B18" w14:paraId="5F89AE90" w14:textId="77777777">
      <w:pPr>
        <w:rPr>
          <w:lang w:eastAsia="en-US"/>
        </w:rPr>
      </w:pPr>
    </w:p>
    <w:p w:rsidRPr="009761C2" w:rsidR="00230820" w:rsidP="00230820" w:rsidRDefault="0098099C" w14:paraId="514D01D8" w14:textId="1C90B3EA">
      <w:pPr>
        <w:contextualSpacing/>
        <w:rPr>
          <w:szCs w:val="18"/>
        </w:rPr>
      </w:pPr>
      <w:r w:rsidRPr="009761C2">
        <w:rPr>
          <w:szCs w:val="18"/>
        </w:rPr>
        <w:t>De leden van de fractie van de VVD vragen</w:t>
      </w:r>
      <w:r w:rsidR="00DA567E">
        <w:rPr>
          <w:szCs w:val="18"/>
        </w:rPr>
        <w:t>, gelet op de internationale ontwikkelingen,</w:t>
      </w:r>
      <w:r w:rsidRPr="009761C2">
        <w:rPr>
          <w:szCs w:val="18"/>
        </w:rPr>
        <w:t xml:space="preserve"> wat de toekomst is van de Wet minimumbelasting 2024. Verder vragen deze leden </w:t>
      </w:r>
      <w:r w:rsidR="007527E5">
        <w:rPr>
          <w:szCs w:val="18"/>
        </w:rPr>
        <w:t>het kabinet</w:t>
      </w:r>
      <w:r w:rsidRPr="009761C2">
        <w:rPr>
          <w:szCs w:val="18"/>
        </w:rPr>
        <w:t xml:space="preserve"> om aan te geven wat de huidige stand van zaken is </w:t>
      </w:r>
      <w:r w:rsidR="00DA567E">
        <w:rPr>
          <w:szCs w:val="18"/>
        </w:rPr>
        <w:t xml:space="preserve">voor wat </w:t>
      </w:r>
      <w:r w:rsidRPr="009761C2">
        <w:rPr>
          <w:szCs w:val="18"/>
        </w:rPr>
        <w:t>betreft het</w:t>
      </w:r>
      <w:r w:rsidR="00DA567E">
        <w:rPr>
          <w:szCs w:val="18"/>
        </w:rPr>
        <w:t xml:space="preserve"> zogenoemde</w:t>
      </w:r>
      <w:r w:rsidRPr="009761C2">
        <w:rPr>
          <w:szCs w:val="18"/>
        </w:rPr>
        <w:t xml:space="preserve"> Side-</w:t>
      </w:r>
      <w:proofErr w:type="spellStart"/>
      <w:r w:rsidRPr="009761C2">
        <w:rPr>
          <w:szCs w:val="18"/>
        </w:rPr>
        <w:t>by</w:t>
      </w:r>
      <w:proofErr w:type="spellEnd"/>
      <w:r w:rsidRPr="009761C2">
        <w:rPr>
          <w:szCs w:val="18"/>
        </w:rPr>
        <w:t>-Side system. Daarnaast vragen de</w:t>
      </w:r>
      <w:r w:rsidR="00DA567E">
        <w:rPr>
          <w:szCs w:val="18"/>
        </w:rPr>
        <w:t>ze</w:t>
      </w:r>
      <w:r w:rsidRPr="009761C2">
        <w:rPr>
          <w:szCs w:val="18"/>
        </w:rPr>
        <w:t xml:space="preserve"> leden of het Side-</w:t>
      </w:r>
      <w:proofErr w:type="spellStart"/>
      <w:r w:rsidRPr="009761C2">
        <w:rPr>
          <w:szCs w:val="18"/>
        </w:rPr>
        <w:t>by</w:t>
      </w:r>
      <w:proofErr w:type="spellEnd"/>
      <w:r w:rsidRPr="009761C2">
        <w:rPr>
          <w:szCs w:val="18"/>
        </w:rPr>
        <w:t>-Side system leidt tot een ongelijk speelveld voor Nederland en de Europese Unie en of het niet beter is om te wachten met dit systeem. Ook vragen deze leden wat de deadline is om op internationaal niveau overeenstemming te bereiken hierover en wat de ontwikkelingen zijn rondom belastingtegoeden. Tot slot vragen de leden van de VVD of de toekomst van de minimumbelasting onderdeel zal zijn van de G7 en G20 in oktober 2025.</w:t>
      </w:r>
      <w:r w:rsidR="00230820">
        <w:rPr>
          <w:szCs w:val="18"/>
        </w:rPr>
        <w:t xml:space="preserve"> </w:t>
      </w:r>
      <w:r w:rsidRPr="009761C2">
        <w:rPr>
          <w:szCs w:val="18"/>
        </w:rPr>
        <w:t xml:space="preserve">In januari </w:t>
      </w:r>
      <w:r w:rsidR="006A17D0">
        <w:rPr>
          <w:szCs w:val="18"/>
        </w:rPr>
        <w:t xml:space="preserve">van </w:t>
      </w:r>
      <w:r w:rsidRPr="009761C2">
        <w:rPr>
          <w:szCs w:val="18"/>
        </w:rPr>
        <w:t>dit jaar heeft de Verenigde Staten (VS) aangegeven dat toezeggingen die door de vorige regering van de VS zijn gedaan met betrekking tot de wereldwijde minimumbelasting niet meer van kracht zijn zolang (elementen uit) de wereldwijde minimumbelasting niet door het Congres zijn aangenomen.</w:t>
      </w:r>
      <w:r w:rsidRPr="009761C2">
        <w:rPr>
          <w:rStyle w:val="Voetnootmarkering"/>
          <w:szCs w:val="18"/>
        </w:rPr>
        <w:footnoteReference w:id="20"/>
      </w:r>
      <w:r w:rsidRPr="009761C2">
        <w:rPr>
          <w:szCs w:val="18"/>
        </w:rPr>
        <w:t xml:space="preserve"> </w:t>
      </w:r>
      <w:r w:rsidRPr="009761C2" w:rsidR="007D3FEC">
        <w:rPr>
          <w:szCs w:val="18"/>
        </w:rPr>
        <w:t>Sindsdien wordt in het IF opnieuw onderhandeld over</w:t>
      </w:r>
      <w:r w:rsidR="007D3FEC">
        <w:rPr>
          <w:szCs w:val="18"/>
        </w:rPr>
        <w:t xml:space="preserve"> vereenvoudigingsmogelijkheden om</w:t>
      </w:r>
      <w:r w:rsidRPr="009761C2" w:rsidR="007D3FEC">
        <w:rPr>
          <w:szCs w:val="18"/>
        </w:rPr>
        <w:t xml:space="preserve"> de wereldwijde minimumbelasting (Pijler 2) </w:t>
      </w:r>
      <w:r w:rsidR="007D3FEC">
        <w:rPr>
          <w:szCs w:val="18"/>
        </w:rPr>
        <w:t>door multinationale ondernemingen toe te passen, alsmede</w:t>
      </w:r>
      <w:r w:rsidRPr="009761C2" w:rsidR="007D3FEC">
        <w:rPr>
          <w:szCs w:val="18"/>
        </w:rPr>
        <w:t xml:space="preserve"> hoe het Amerikaanse belastingsysteem hiernaast kan bestaan (‘Side-</w:t>
      </w:r>
      <w:proofErr w:type="spellStart"/>
      <w:r w:rsidRPr="009761C2" w:rsidR="007D3FEC">
        <w:rPr>
          <w:szCs w:val="18"/>
        </w:rPr>
        <w:t>by</w:t>
      </w:r>
      <w:proofErr w:type="spellEnd"/>
      <w:r w:rsidRPr="009761C2" w:rsidR="007D3FEC">
        <w:rPr>
          <w:szCs w:val="18"/>
        </w:rPr>
        <w:t>-Side’). Dit mede omdat de VS al langer een eigen vorm van een minimumbelasting kent.</w:t>
      </w:r>
    </w:p>
    <w:p w:rsidR="0074383F" w:rsidP="00230820" w:rsidRDefault="0098099C" w14:paraId="5357E7F4" w14:textId="34E6FC61">
      <w:pPr>
        <w:contextualSpacing/>
        <w:rPr>
          <w:szCs w:val="18"/>
        </w:rPr>
      </w:pPr>
      <w:r w:rsidRPr="009761C2">
        <w:rPr>
          <w:szCs w:val="18"/>
        </w:rPr>
        <w:t>Op 28 juni 2025 hebben de ministers van Financiën van de G7-landen een gezamenlijke verklaring gepubliceerd</w:t>
      </w:r>
      <w:r w:rsidRPr="009761C2">
        <w:rPr>
          <w:szCs w:val="18"/>
          <w:vertAlign w:val="superscript"/>
        </w:rPr>
        <w:footnoteReference w:id="21"/>
      </w:r>
      <w:r w:rsidRPr="009761C2">
        <w:rPr>
          <w:szCs w:val="18"/>
        </w:rPr>
        <w:t xml:space="preserve"> met daarin een aantal principes op basis waarvan een Side-</w:t>
      </w:r>
      <w:proofErr w:type="spellStart"/>
      <w:r w:rsidRPr="009761C2">
        <w:rPr>
          <w:szCs w:val="18"/>
        </w:rPr>
        <w:t>by</w:t>
      </w:r>
      <w:proofErr w:type="spellEnd"/>
      <w:r w:rsidRPr="009761C2">
        <w:rPr>
          <w:szCs w:val="18"/>
        </w:rPr>
        <w:t>-Side systeem verder kan worden uitgewerkt. Volgens deze G7-verklaring worden multinationals waarvan het hoofdkantoor in de VS is gevestigd voor zowel hun binnenlandse als buitenlandse winsten vrijgesteld van de inkomen</w:t>
      </w:r>
      <w:r w:rsidR="00445FC4">
        <w:rPr>
          <w:szCs w:val="18"/>
        </w:rPr>
        <w:t>-</w:t>
      </w:r>
      <w:r w:rsidRPr="009761C2">
        <w:rPr>
          <w:szCs w:val="18"/>
        </w:rPr>
        <w:t>inclusie</w:t>
      </w:r>
      <w:r w:rsidR="00C10397">
        <w:rPr>
          <w:szCs w:val="18"/>
        </w:rPr>
        <w:t>maat</w:t>
      </w:r>
      <w:r w:rsidRPr="009761C2">
        <w:rPr>
          <w:szCs w:val="18"/>
        </w:rPr>
        <w:t xml:space="preserve">regel en de </w:t>
      </w:r>
      <w:proofErr w:type="spellStart"/>
      <w:r w:rsidRPr="009761C2">
        <w:rPr>
          <w:szCs w:val="18"/>
        </w:rPr>
        <w:t>onderbelastewinst</w:t>
      </w:r>
      <w:r w:rsidR="006A17D0">
        <w:rPr>
          <w:szCs w:val="18"/>
        </w:rPr>
        <w:t>maat</w:t>
      </w:r>
      <w:r w:rsidRPr="009761C2">
        <w:rPr>
          <w:szCs w:val="18"/>
        </w:rPr>
        <w:t>regel</w:t>
      </w:r>
      <w:proofErr w:type="spellEnd"/>
      <w:r w:rsidRPr="009761C2">
        <w:rPr>
          <w:szCs w:val="18"/>
        </w:rPr>
        <w:t>. Daarbij wordt expliciet het belang benadrukt van het aanpakken van substantiële risico’s met betrekking tot het gelijke speelveld of grondslaguitholling en winstverschuiving, om de gemeenschappelijke beleidsdoelstellingen te waarborgen. Ook zal volgens de G7-verklaring parallel aan de uitwerking van een Side-</w:t>
      </w:r>
      <w:proofErr w:type="spellStart"/>
      <w:r w:rsidRPr="009761C2">
        <w:rPr>
          <w:szCs w:val="18"/>
        </w:rPr>
        <w:t>by</w:t>
      </w:r>
      <w:proofErr w:type="spellEnd"/>
      <w:r w:rsidRPr="009761C2">
        <w:rPr>
          <w:szCs w:val="18"/>
        </w:rPr>
        <w:t>-Side systeem verder worden gewerkt aan vereenvoudiging van Pijler 2. Tot slot zal worden gekeken of de behandeling van niet-restitueerbare belastingtegoeden op basis van reële aanwezigheid (zogenaamde ‘</w:t>
      </w:r>
      <w:proofErr w:type="spellStart"/>
      <w:r w:rsidRPr="009761C2">
        <w:rPr>
          <w:szCs w:val="18"/>
        </w:rPr>
        <w:t>substance-based</w:t>
      </w:r>
      <w:proofErr w:type="spellEnd"/>
      <w:r w:rsidRPr="009761C2">
        <w:rPr>
          <w:szCs w:val="18"/>
        </w:rPr>
        <w:t xml:space="preserve"> non-</w:t>
      </w:r>
      <w:proofErr w:type="spellStart"/>
      <w:r w:rsidRPr="009761C2">
        <w:rPr>
          <w:szCs w:val="18"/>
        </w:rPr>
        <w:t>refundable</w:t>
      </w:r>
      <w:proofErr w:type="spellEnd"/>
      <w:r w:rsidRPr="009761C2">
        <w:rPr>
          <w:szCs w:val="18"/>
        </w:rPr>
        <w:t xml:space="preserve"> </w:t>
      </w:r>
      <w:proofErr w:type="spellStart"/>
      <w:r w:rsidRPr="009761C2">
        <w:rPr>
          <w:szCs w:val="18"/>
        </w:rPr>
        <w:t>tax</w:t>
      </w:r>
      <w:proofErr w:type="spellEnd"/>
      <w:r w:rsidRPr="009761C2">
        <w:rPr>
          <w:szCs w:val="18"/>
        </w:rPr>
        <w:t xml:space="preserve"> </w:t>
      </w:r>
      <w:proofErr w:type="spellStart"/>
      <w:r w:rsidRPr="009761C2">
        <w:rPr>
          <w:szCs w:val="18"/>
        </w:rPr>
        <w:t>credits</w:t>
      </w:r>
      <w:proofErr w:type="spellEnd"/>
      <w:r w:rsidRPr="009761C2">
        <w:rPr>
          <w:szCs w:val="18"/>
        </w:rPr>
        <w:t>’) onder Pijler 2 moet worden aangepast.</w:t>
      </w:r>
      <w:r w:rsidR="00CC14DA">
        <w:rPr>
          <w:szCs w:val="18"/>
        </w:rPr>
        <w:t xml:space="preserve"> </w:t>
      </w:r>
      <w:r w:rsidRPr="009761C2">
        <w:rPr>
          <w:szCs w:val="18"/>
        </w:rPr>
        <w:t xml:space="preserve">Momenteel wordt nog onderhandeld over de uitwerking van de G7-verklaring en de vormgeving van </w:t>
      </w:r>
      <w:r w:rsidR="00DD74F1">
        <w:rPr>
          <w:szCs w:val="18"/>
        </w:rPr>
        <w:t>het</w:t>
      </w:r>
      <w:r w:rsidRPr="009761C2" w:rsidR="00DD74F1">
        <w:rPr>
          <w:szCs w:val="18"/>
        </w:rPr>
        <w:t xml:space="preserve"> </w:t>
      </w:r>
      <w:r w:rsidRPr="009761C2">
        <w:rPr>
          <w:szCs w:val="18"/>
        </w:rPr>
        <w:t>Side-</w:t>
      </w:r>
      <w:proofErr w:type="spellStart"/>
      <w:r w:rsidRPr="009761C2">
        <w:rPr>
          <w:szCs w:val="18"/>
        </w:rPr>
        <w:t>by</w:t>
      </w:r>
      <w:proofErr w:type="spellEnd"/>
      <w:r w:rsidRPr="009761C2">
        <w:rPr>
          <w:szCs w:val="18"/>
        </w:rPr>
        <w:t xml:space="preserve">-Side systeem binnen het IF, met het streven om voor het einde van het jaar overeenstemming te bereiken. Daarbij wordt door de leden van het IF ook gekeken naar mogelijkheden om de minimumbelasting te vereenvoudigen en naar de behandeling van niet-restitueerbare belastingtegoeden. Deze onderhandelingen vinden primair plaats in IF-verband. Dat neemt niet weg </w:t>
      </w:r>
      <w:r w:rsidRPr="009C223C">
        <w:rPr>
          <w:szCs w:val="18"/>
        </w:rPr>
        <w:t>dat binnen de G20 regelmatig wordt gesproken over internationale fiscaliteit, waaronder de wereldwijde minimumbelasting. Bij de ministeriële bijeenkomst van de G20 op 15 en 16 oktober is dit onderwerp ook aan de orde gekomen. Nederland maakt geen deel uit van de G7.</w:t>
      </w:r>
      <w:r w:rsidR="0074383F">
        <w:rPr>
          <w:szCs w:val="18"/>
        </w:rPr>
        <w:t xml:space="preserve"> </w:t>
      </w:r>
    </w:p>
    <w:p w:rsidRPr="009761C2" w:rsidR="0098099C" w:rsidP="0098099C" w:rsidRDefault="0098099C" w14:paraId="07D289E0" w14:textId="121E0BC1">
      <w:pPr>
        <w:contextualSpacing/>
        <w:rPr>
          <w:b/>
          <w:bCs/>
          <w:szCs w:val="18"/>
        </w:rPr>
      </w:pPr>
      <w:r w:rsidRPr="009761C2">
        <w:rPr>
          <w:szCs w:val="18"/>
        </w:rPr>
        <w:t xml:space="preserve">Nederland acht het van belang om de effectiviteit en stabiliteit van het internationale belastingstelsel te waarborgen en om recht te doen aan de internationale afspraken over de wereldwijde minimumbelasting. Daarbij is het belangrijk om de doelstellingen van de minimumbelasting niet uit het oog te verliezen, namelijk een ondergrens stellen aan belastingconcurrentie tussen landen en de prikkel verminderen voor multinationals om winsten naar </w:t>
      </w:r>
      <w:proofErr w:type="spellStart"/>
      <w:r w:rsidRPr="009761C2">
        <w:rPr>
          <w:szCs w:val="18"/>
        </w:rPr>
        <w:t>laagbelastende</w:t>
      </w:r>
      <w:proofErr w:type="spellEnd"/>
      <w:r w:rsidRPr="009761C2">
        <w:rPr>
          <w:szCs w:val="18"/>
        </w:rPr>
        <w:t xml:space="preserve"> </w:t>
      </w:r>
      <w:r w:rsidR="00C10397">
        <w:rPr>
          <w:szCs w:val="18"/>
        </w:rPr>
        <w:t xml:space="preserve">staten </w:t>
      </w:r>
      <w:r w:rsidRPr="009761C2">
        <w:rPr>
          <w:szCs w:val="18"/>
        </w:rPr>
        <w:t>te verplaatsen. Tegelijkertijd blijft het bij de vormgeving van een Side-</w:t>
      </w:r>
      <w:proofErr w:type="spellStart"/>
      <w:r w:rsidRPr="009761C2">
        <w:rPr>
          <w:szCs w:val="18"/>
        </w:rPr>
        <w:t>by</w:t>
      </w:r>
      <w:proofErr w:type="spellEnd"/>
      <w:r w:rsidRPr="009761C2">
        <w:rPr>
          <w:szCs w:val="18"/>
        </w:rPr>
        <w:t>-Side systeem essentieel om oog te houden voor de Nederlandse belangen, zoals het behoud van een gelijk speelveld en het EU-concurrentievermogen. Deze belangen zijn onlosmakelijk verbonden met de onderhandelingsinzet van Nederland.</w:t>
      </w:r>
      <w:r w:rsidR="009C223C">
        <w:rPr>
          <w:szCs w:val="18"/>
        </w:rPr>
        <w:t xml:space="preserve"> </w:t>
      </w:r>
      <w:r w:rsidRPr="009761C2">
        <w:rPr>
          <w:szCs w:val="18"/>
        </w:rPr>
        <w:t>Nederland trekt hierin samen op met andere landen die de wereldwijde minimumbelasting hebben geïmplementeerd. Dit betreft in het bijzonder de EU-lidstaten, gezien de EU-richtlijn minimumniveau van belastingheffing</w:t>
      </w:r>
      <w:r w:rsidRPr="009761C2">
        <w:t xml:space="preserve"> </w:t>
      </w:r>
      <w:r w:rsidRPr="009761C2">
        <w:rPr>
          <w:szCs w:val="18"/>
        </w:rPr>
        <w:t>en het gezamenlijke belang om het gelijke speelveld voor Europese multinationals en het EU-concurrentievermogen zo goed mogelijk te waarborgen. Verder is het goed om te benoemen dat, hoewel landen als de VS en China Pijler 2 weliswaar niet hebben ingevoerd, er veel landen zijn die dat wel hebben gedaan.</w:t>
      </w:r>
      <w:r w:rsidRPr="009761C2">
        <w:rPr>
          <w:rStyle w:val="Voetnootmarkering"/>
          <w:szCs w:val="18"/>
        </w:rPr>
        <w:footnoteReference w:id="22"/>
      </w:r>
      <w:r w:rsidRPr="009761C2">
        <w:rPr>
          <w:szCs w:val="18"/>
        </w:rPr>
        <w:t xml:space="preserve"> Daarnaast hebben verschillende </w:t>
      </w:r>
      <w:r w:rsidR="00C10397">
        <w:rPr>
          <w:szCs w:val="18"/>
        </w:rPr>
        <w:t>staten</w:t>
      </w:r>
      <w:r w:rsidR="008922F5">
        <w:rPr>
          <w:szCs w:val="18"/>
        </w:rPr>
        <w:t xml:space="preserve"> die voorheen </w:t>
      </w:r>
      <w:proofErr w:type="spellStart"/>
      <w:r w:rsidR="008922F5">
        <w:rPr>
          <w:szCs w:val="18"/>
        </w:rPr>
        <w:t>laagbelastend</w:t>
      </w:r>
      <w:proofErr w:type="spellEnd"/>
      <w:r w:rsidR="008922F5">
        <w:rPr>
          <w:szCs w:val="18"/>
        </w:rPr>
        <w:t xml:space="preserve"> waren</w:t>
      </w:r>
      <w:r w:rsidRPr="009761C2" w:rsidR="00C10397">
        <w:rPr>
          <w:szCs w:val="18"/>
        </w:rPr>
        <w:t xml:space="preserve"> </w:t>
      </w:r>
      <w:r w:rsidRPr="009761C2">
        <w:rPr>
          <w:szCs w:val="18"/>
        </w:rPr>
        <w:t>een</w:t>
      </w:r>
      <w:r w:rsidR="00445FC4">
        <w:rPr>
          <w:szCs w:val="18"/>
        </w:rPr>
        <w:t xml:space="preserve"> kwalificerende</w:t>
      </w:r>
      <w:r w:rsidRPr="009761C2">
        <w:rPr>
          <w:szCs w:val="18"/>
        </w:rPr>
        <w:t xml:space="preserve"> binnenlandse </w:t>
      </w:r>
      <w:proofErr w:type="spellStart"/>
      <w:r w:rsidRPr="009761C2">
        <w:rPr>
          <w:szCs w:val="18"/>
        </w:rPr>
        <w:t>bijheffing</w:t>
      </w:r>
      <w:proofErr w:type="spellEnd"/>
      <w:r w:rsidRPr="009761C2">
        <w:rPr>
          <w:szCs w:val="18"/>
        </w:rPr>
        <w:t xml:space="preserve"> of een winstbelasting ingevoerd.</w:t>
      </w:r>
      <w:r w:rsidR="009C223C">
        <w:rPr>
          <w:szCs w:val="18"/>
        </w:rPr>
        <w:t xml:space="preserve"> </w:t>
      </w:r>
      <w:r w:rsidRPr="009761C2">
        <w:rPr>
          <w:szCs w:val="18"/>
        </w:rPr>
        <w:t xml:space="preserve">Het is op dit moment niet mogelijk om in detail uit te weiden over de precieze status van de lopende </w:t>
      </w:r>
      <w:r w:rsidR="00C10397">
        <w:rPr>
          <w:szCs w:val="18"/>
        </w:rPr>
        <w:t xml:space="preserve">internationale </w:t>
      </w:r>
      <w:r w:rsidRPr="009761C2">
        <w:rPr>
          <w:szCs w:val="18"/>
        </w:rPr>
        <w:t xml:space="preserve">onderhandelingen. Vanzelfsprekend wordt uw Kamer op de hoogte </w:t>
      </w:r>
      <w:r w:rsidR="007417C5">
        <w:rPr>
          <w:szCs w:val="18"/>
        </w:rPr>
        <w:t>ge</w:t>
      </w:r>
      <w:r w:rsidRPr="009761C2">
        <w:rPr>
          <w:szCs w:val="18"/>
        </w:rPr>
        <w:t>houden wanneer er meer duidelijkheid is.</w:t>
      </w:r>
    </w:p>
    <w:p w:rsidRPr="009761C2" w:rsidR="00FC4924" w:rsidP="00A047C2" w:rsidRDefault="00FC4924" w14:paraId="572023D8" w14:textId="77777777">
      <w:pPr>
        <w:contextualSpacing/>
        <w:rPr>
          <w:rFonts w:cs="Arial"/>
          <w:szCs w:val="18"/>
        </w:rPr>
      </w:pPr>
    </w:p>
    <w:p w:rsidR="00BA388C" w:rsidP="00BA388C" w:rsidRDefault="00F813D4" w14:paraId="146CE06C" w14:textId="354D29C3">
      <w:pPr>
        <w:pStyle w:val="Kop1"/>
        <w:numPr>
          <w:ilvl w:val="0"/>
          <w:numId w:val="0"/>
        </w:numPr>
        <w:ind w:left="708" w:firstLine="708"/>
        <w:rPr>
          <w:rFonts w:eastAsia="Times New Roman" w:cs="Arial"/>
          <w:bCs w:val="0"/>
          <w:iCs/>
          <w:szCs w:val="18"/>
          <w:lang w:eastAsia="nl-NL"/>
        </w:rPr>
      </w:pPr>
      <w:bookmarkStart w:name="_Toc211438731" w:id="8"/>
      <w:r w:rsidRPr="00AF52A0">
        <w:rPr>
          <w:rFonts w:eastAsia="Times New Roman" w:cs="Arial"/>
          <w:bCs w:val="0"/>
          <w:iCs/>
          <w:szCs w:val="18"/>
          <w:lang w:eastAsia="nl-NL"/>
        </w:rPr>
        <w:t>6</w:t>
      </w:r>
      <w:r w:rsidRPr="00AF52A0" w:rsidR="00A047C2">
        <w:rPr>
          <w:rFonts w:eastAsia="Times New Roman" w:cs="Arial"/>
          <w:bCs w:val="0"/>
          <w:iCs/>
          <w:szCs w:val="18"/>
          <w:lang w:eastAsia="nl-NL"/>
        </w:rPr>
        <w:t xml:space="preserve">. </w:t>
      </w:r>
      <w:proofErr w:type="spellStart"/>
      <w:r w:rsidRPr="00AF52A0" w:rsidR="00A047C2">
        <w:rPr>
          <w:rFonts w:eastAsia="Times New Roman" w:cs="Arial"/>
          <w:bCs w:val="0"/>
          <w:iCs/>
          <w:szCs w:val="18"/>
          <w:lang w:eastAsia="nl-NL"/>
        </w:rPr>
        <w:t>Securitisatie</w:t>
      </w:r>
      <w:proofErr w:type="spellEnd"/>
      <w:r w:rsidRPr="00AF52A0" w:rsidR="00A047C2">
        <w:rPr>
          <w:rFonts w:eastAsia="Times New Roman" w:cs="Arial"/>
          <w:bCs w:val="0"/>
          <w:iCs/>
          <w:szCs w:val="18"/>
          <w:lang w:eastAsia="nl-NL"/>
        </w:rPr>
        <w:t>-entiteiten</w:t>
      </w:r>
      <w:bookmarkEnd w:id="8"/>
    </w:p>
    <w:p w:rsidRPr="00B50EB6" w:rsidR="00B50EB6" w:rsidP="00B50EB6" w:rsidRDefault="00B50EB6" w14:paraId="54295D16" w14:textId="77777777"/>
    <w:p w:rsidRPr="009761C2" w:rsidR="00F813D4" w:rsidP="00230820" w:rsidRDefault="00A047C2" w14:paraId="43620D83" w14:textId="490C1EAE">
      <w:pPr>
        <w:contextualSpacing/>
        <w:rPr>
          <w:szCs w:val="18"/>
        </w:rPr>
      </w:pPr>
      <w:r w:rsidRPr="009761C2">
        <w:rPr>
          <w:szCs w:val="18"/>
        </w:rPr>
        <w:t xml:space="preserve">De leden van de fractie van de VVD vragen of de optionele administratieve richtsnoeren, bijvoorbeeld die over </w:t>
      </w:r>
      <w:proofErr w:type="spellStart"/>
      <w:r w:rsidRPr="00AF52A0">
        <w:rPr>
          <w:szCs w:val="18"/>
        </w:rPr>
        <w:t>securitisatievehikels</w:t>
      </w:r>
      <w:proofErr w:type="spellEnd"/>
      <w:r w:rsidRPr="009761C2">
        <w:rPr>
          <w:i/>
          <w:iCs/>
          <w:szCs w:val="18"/>
        </w:rPr>
        <w:t xml:space="preserve">, </w:t>
      </w:r>
      <w:r w:rsidRPr="009761C2">
        <w:rPr>
          <w:szCs w:val="18"/>
        </w:rPr>
        <w:t>met terugwerkende kracht doorwerken naar de WMB 2024.</w:t>
      </w:r>
      <w:r w:rsidR="00230820">
        <w:rPr>
          <w:szCs w:val="18"/>
        </w:rPr>
        <w:t xml:space="preserve"> </w:t>
      </w:r>
      <w:r w:rsidRPr="009761C2">
        <w:rPr>
          <w:szCs w:val="18"/>
        </w:rPr>
        <w:t xml:space="preserve">In het concept van het </w:t>
      </w:r>
      <w:proofErr w:type="spellStart"/>
      <w:r w:rsidRPr="009761C2">
        <w:rPr>
          <w:szCs w:val="18"/>
        </w:rPr>
        <w:t>Eindejaarsbesluit</w:t>
      </w:r>
      <w:proofErr w:type="spellEnd"/>
      <w:r w:rsidRPr="009761C2">
        <w:rPr>
          <w:szCs w:val="18"/>
        </w:rPr>
        <w:t xml:space="preserve"> 2025, dat op 9 juli 2025 is gepubliceerd in het kader van een internetconsultatie</w:t>
      </w:r>
      <w:r w:rsidR="000F3C8F">
        <w:rPr>
          <w:rStyle w:val="Voetnootmarkering"/>
          <w:szCs w:val="18"/>
        </w:rPr>
        <w:footnoteReference w:id="23"/>
      </w:r>
      <w:r w:rsidRPr="009761C2">
        <w:rPr>
          <w:szCs w:val="18"/>
        </w:rPr>
        <w:t xml:space="preserve">, </w:t>
      </w:r>
      <w:r w:rsidR="000F3C8F">
        <w:rPr>
          <w:szCs w:val="18"/>
        </w:rPr>
        <w:t>is</w:t>
      </w:r>
      <w:r w:rsidRPr="009761C2">
        <w:rPr>
          <w:szCs w:val="18"/>
        </w:rPr>
        <w:t xml:space="preserve"> een aantal wijzigingen in het Uitvoeringsbesluit minimumbelasting 2024 </w:t>
      </w:r>
      <w:r w:rsidR="000F3C8F">
        <w:rPr>
          <w:szCs w:val="18"/>
        </w:rPr>
        <w:t>voorgesteld</w:t>
      </w:r>
      <w:r w:rsidRPr="009761C2">
        <w:rPr>
          <w:szCs w:val="18"/>
        </w:rPr>
        <w:t xml:space="preserve">. Een van deze wijzigingen regelt de toepassing van de </w:t>
      </w:r>
      <w:r w:rsidRPr="009C223C">
        <w:rPr>
          <w:i/>
          <w:iCs/>
          <w:szCs w:val="18"/>
        </w:rPr>
        <w:t>switch-off</w:t>
      </w:r>
      <w:r w:rsidRPr="00AF52A0">
        <w:rPr>
          <w:i/>
          <w:iCs/>
          <w:szCs w:val="18"/>
        </w:rPr>
        <w:t>-</w:t>
      </w:r>
      <w:r w:rsidR="009C223C">
        <w:rPr>
          <w:szCs w:val="18"/>
        </w:rPr>
        <w:t>bepaling</w:t>
      </w:r>
      <w:r w:rsidRPr="009761C2" w:rsidR="009C223C">
        <w:rPr>
          <w:szCs w:val="18"/>
        </w:rPr>
        <w:t xml:space="preserve"> </w:t>
      </w:r>
      <w:r w:rsidRPr="009761C2">
        <w:rPr>
          <w:szCs w:val="18"/>
        </w:rPr>
        <w:t xml:space="preserve">op </w:t>
      </w:r>
      <w:proofErr w:type="spellStart"/>
      <w:r w:rsidRPr="009761C2">
        <w:rPr>
          <w:szCs w:val="18"/>
        </w:rPr>
        <w:t>securitisatie</w:t>
      </w:r>
      <w:proofErr w:type="spellEnd"/>
      <w:r w:rsidRPr="009761C2">
        <w:rPr>
          <w:szCs w:val="18"/>
        </w:rPr>
        <w:t xml:space="preserve">-entiteiten. De toepassing van de </w:t>
      </w:r>
      <w:r w:rsidRPr="009C223C">
        <w:rPr>
          <w:i/>
          <w:iCs/>
          <w:szCs w:val="18"/>
        </w:rPr>
        <w:t>switch-off-</w:t>
      </w:r>
      <w:r w:rsidR="00C10397">
        <w:rPr>
          <w:szCs w:val="18"/>
        </w:rPr>
        <w:t xml:space="preserve">bepaling </w:t>
      </w:r>
      <w:r w:rsidRPr="009761C2">
        <w:rPr>
          <w:szCs w:val="18"/>
        </w:rPr>
        <w:t xml:space="preserve">regelt – kort gezegd </w:t>
      </w:r>
      <w:r w:rsidR="00C10397">
        <w:rPr>
          <w:szCs w:val="18"/>
        </w:rPr>
        <w:t>–</w:t>
      </w:r>
      <w:r w:rsidRPr="009761C2">
        <w:rPr>
          <w:szCs w:val="18"/>
        </w:rPr>
        <w:t xml:space="preserve"> dat in het geval een staat ervoor kiest géén kwalificerende binnenlandse </w:t>
      </w:r>
      <w:proofErr w:type="spellStart"/>
      <w:r w:rsidRPr="009761C2">
        <w:rPr>
          <w:szCs w:val="18"/>
        </w:rPr>
        <w:t>bijheffing</w:t>
      </w:r>
      <w:proofErr w:type="spellEnd"/>
      <w:r w:rsidRPr="009761C2">
        <w:rPr>
          <w:szCs w:val="18"/>
        </w:rPr>
        <w:t xml:space="preserve"> op te leggen aan bepaalde soorten entiteiten </w:t>
      </w:r>
      <w:r w:rsidR="003F47F8">
        <w:rPr>
          <w:szCs w:val="18"/>
        </w:rPr>
        <w:t>–</w:t>
      </w:r>
      <w:r w:rsidRPr="009761C2">
        <w:rPr>
          <w:szCs w:val="18"/>
        </w:rPr>
        <w:t xml:space="preserve"> zoals bijvoorbeeld doorkijkentiteiten en bepaalde beleggingsentiteiten – de binnenlandse </w:t>
      </w:r>
      <w:proofErr w:type="spellStart"/>
      <w:r w:rsidRPr="009761C2">
        <w:rPr>
          <w:szCs w:val="18"/>
        </w:rPr>
        <w:t>bijheffing</w:t>
      </w:r>
      <w:proofErr w:type="spellEnd"/>
      <w:r w:rsidRPr="009761C2">
        <w:rPr>
          <w:szCs w:val="18"/>
        </w:rPr>
        <w:t xml:space="preserve"> </w:t>
      </w:r>
      <w:proofErr w:type="spellStart"/>
      <w:r w:rsidRPr="009761C2">
        <w:rPr>
          <w:szCs w:val="18"/>
        </w:rPr>
        <w:t>veiligehavenregel</w:t>
      </w:r>
      <w:proofErr w:type="spellEnd"/>
      <w:r w:rsidRPr="009761C2">
        <w:rPr>
          <w:szCs w:val="18"/>
        </w:rPr>
        <w:t xml:space="preserve"> (art</w:t>
      </w:r>
      <w:r w:rsidR="007A5475">
        <w:rPr>
          <w:szCs w:val="18"/>
        </w:rPr>
        <w:t>ikel</w:t>
      </w:r>
      <w:r w:rsidRPr="009761C2">
        <w:rPr>
          <w:szCs w:val="18"/>
        </w:rPr>
        <w:t xml:space="preserve"> 8.13 W</w:t>
      </w:r>
      <w:r w:rsidR="007A5475">
        <w:rPr>
          <w:szCs w:val="18"/>
        </w:rPr>
        <w:t>MB</w:t>
      </w:r>
      <w:r w:rsidRPr="009761C2">
        <w:rPr>
          <w:szCs w:val="18"/>
        </w:rPr>
        <w:t xml:space="preserve"> 2024) niet van toepassing is op deze entiteiten. Dit betekent dat voor dergelijke entiteiten de </w:t>
      </w:r>
      <w:proofErr w:type="spellStart"/>
      <w:r w:rsidRPr="009761C2">
        <w:rPr>
          <w:szCs w:val="18"/>
        </w:rPr>
        <w:t>bijheffing</w:t>
      </w:r>
      <w:proofErr w:type="spellEnd"/>
      <w:r w:rsidRPr="009761C2">
        <w:rPr>
          <w:szCs w:val="18"/>
        </w:rPr>
        <w:t xml:space="preserve"> wel berekend dient te worden ten behoeve van de inkomen-inclusiemaatregel en/of de </w:t>
      </w:r>
      <w:proofErr w:type="spellStart"/>
      <w:r w:rsidRPr="009761C2">
        <w:rPr>
          <w:szCs w:val="18"/>
        </w:rPr>
        <w:t>onderbelastewinst</w:t>
      </w:r>
      <w:r w:rsidR="00C10397">
        <w:rPr>
          <w:szCs w:val="18"/>
        </w:rPr>
        <w:t>maatregel</w:t>
      </w:r>
      <w:proofErr w:type="spellEnd"/>
      <w:r w:rsidRPr="009761C2">
        <w:rPr>
          <w:szCs w:val="18"/>
        </w:rPr>
        <w:t xml:space="preserve">. Op grond van het concept van het </w:t>
      </w:r>
      <w:proofErr w:type="spellStart"/>
      <w:r w:rsidRPr="009761C2">
        <w:rPr>
          <w:szCs w:val="18"/>
        </w:rPr>
        <w:t>Eindejaarsbesluit</w:t>
      </w:r>
      <w:proofErr w:type="spellEnd"/>
      <w:r w:rsidRPr="009761C2">
        <w:rPr>
          <w:szCs w:val="18"/>
        </w:rPr>
        <w:t xml:space="preserve"> 2025 is deze de </w:t>
      </w:r>
      <w:r w:rsidRPr="009C223C">
        <w:rPr>
          <w:i/>
          <w:iCs/>
          <w:szCs w:val="18"/>
        </w:rPr>
        <w:t>switch-off</w:t>
      </w:r>
      <w:r w:rsidRPr="00AF52A0">
        <w:rPr>
          <w:i/>
          <w:iCs/>
          <w:szCs w:val="18"/>
        </w:rPr>
        <w:t>-</w:t>
      </w:r>
      <w:r w:rsidR="00C10397">
        <w:rPr>
          <w:szCs w:val="18"/>
        </w:rPr>
        <w:t>bepaling</w:t>
      </w:r>
      <w:r w:rsidRPr="009761C2">
        <w:rPr>
          <w:szCs w:val="18"/>
        </w:rPr>
        <w:t xml:space="preserve"> ook van toepassing op </w:t>
      </w:r>
      <w:proofErr w:type="spellStart"/>
      <w:r w:rsidRPr="009761C2">
        <w:rPr>
          <w:szCs w:val="18"/>
        </w:rPr>
        <w:t>securitisatie</w:t>
      </w:r>
      <w:proofErr w:type="spellEnd"/>
      <w:r w:rsidRPr="009761C2">
        <w:rPr>
          <w:szCs w:val="18"/>
        </w:rPr>
        <w:t xml:space="preserve">-entiteiten. Deze wijziging heeft ingevolge </w:t>
      </w:r>
      <w:r w:rsidR="00951581">
        <w:rPr>
          <w:szCs w:val="18"/>
        </w:rPr>
        <w:t>de inwerkingtredingsbepaling</w:t>
      </w:r>
      <w:r w:rsidRPr="009761C2">
        <w:rPr>
          <w:szCs w:val="18"/>
        </w:rPr>
        <w:t xml:space="preserve">, zoals opgenomen in het concept van het </w:t>
      </w:r>
      <w:proofErr w:type="spellStart"/>
      <w:r w:rsidRPr="009761C2">
        <w:rPr>
          <w:szCs w:val="18"/>
        </w:rPr>
        <w:t>Eindejaarsbesluit</w:t>
      </w:r>
      <w:proofErr w:type="spellEnd"/>
      <w:r w:rsidRPr="009761C2">
        <w:rPr>
          <w:szCs w:val="18"/>
        </w:rPr>
        <w:t xml:space="preserve"> 2025</w:t>
      </w:r>
      <w:r w:rsidR="00CC14DA">
        <w:rPr>
          <w:szCs w:val="18"/>
        </w:rPr>
        <w:t>,</w:t>
      </w:r>
      <w:r w:rsidRPr="009761C2">
        <w:rPr>
          <w:szCs w:val="18"/>
        </w:rPr>
        <w:t xml:space="preserve"> terugwerkende kracht tot 31 december 2023</w:t>
      </w:r>
      <w:r w:rsidR="00E57BA7">
        <w:rPr>
          <w:szCs w:val="18"/>
        </w:rPr>
        <w:t xml:space="preserve"> en vindt </w:t>
      </w:r>
      <w:r w:rsidRPr="00E57BA7" w:rsidR="00E57BA7">
        <w:rPr>
          <w:szCs w:val="18"/>
        </w:rPr>
        <w:t>voor het eerst toepassing met betrekking tot verslagjaren die aanvangen op of na 31 december 202</w:t>
      </w:r>
      <w:r w:rsidR="00E57BA7">
        <w:rPr>
          <w:szCs w:val="18"/>
        </w:rPr>
        <w:t>3</w:t>
      </w:r>
      <w:r w:rsidRPr="009761C2">
        <w:rPr>
          <w:szCs w:val="18"/>
        </w:rPr>
        <w:t>.</w:t>
      </w:r>
    </w:p>
    <w:p w:rsidRPr="009761C2" w:rsidR="00F813D4" w:rsidP="00F813D4" w:rsidRDefault="00F813D4" w14:paraId="415CA2FC" w14:textId="77777777">
      <w:pPr>
        <w:contextualSpacing/>
        <w:rPr>
          <w:szCs w:val="18"/>
        </w:rPr>
      </w:pPr>
    </w:p>
    <w:p w:rsidR="00BA388C" w:rsidP="00BA388C" w:rsidRDefault="00CA4C41" w14:paraId="40C0CD4B" w14:textId="4BAD5E7E">
      <w:pPr>
        <w:pStyle w:val="Kop1"/>
        <w:numPr>
          <w:ilvl w:val="0"/>
          <w:numId w:val="0"/>
        </w:numPr>
        <w:ind w:left="708" w:firstLine="708"/>
        <w:rPr>
          <w:rFonts w:eastAsia="Times New Roman" w:cs="Arial"/>
          <w:bCs w:val="0"/>
          <w:iCs/>
          <w:szCs w:val="18"/>
          <w:lang w:eastAsia="nl-NL"/>
        </w:rPr>
      </w:pPr>
      <w:bookmarkStart w:name="_Toc211438732" w:id="9"/>
      <w:r w:rsidRPr="00BA388C">
        <w:rPr>
          <w:rFonts w:cs="Arial"/>
          <w:iCs/>
          <w:szCs w:val="18"/>
        </w:rPr>
        <w:t xml:space="preserve">7. </w:t>
      </w:r>
      <w:r w:rsidRPr="00BA388C">
        <w:rPr>
          <w:rFonts w:eastAsia="Times New Roman" w:cs="Arial"/>
          <w:bCs w:val="0"/>
          <w:iCs/>
          <w:szCs w:val="18"/>
          <w:lang w:eastAsia="nl-NL"/>
        </w:rPr>
        <w:t>Doorkijkentiteiten</w:t>
      </w:r>
      <w:bookmarkEnd w:id="9"/>
    </w:p>
    <w:p w:rsidRPr="00676B18" w:rsidR="00676B18" w:rsidP="00676B18" w:rsidRDefault="00676B18" w14:paraId="00A6BCE7" w14:textId="77777777"/>
    <w:p w:rsidRPr="009761C2" w:rsidR="00CA4C41" w:rsidP="000E40F9" w:rsidRDefault="00F813D4" w14:paraId="41FFE62D" w14:textId="61927CEC">
      <w:pPr>
        <w:contextualSpacing/>
        <w:rPr>
          <w:szCs w:val="18"/>
        </w:rPr>
      </w:pPr>
      <w:r w:rsidRPr="009761C2">
        <w:rPr>
          <w:szCs w:val="18"/>
        </w:rPr>
        <w:t xml:space="preserve">De leden van de fractie van de VVD vragen om verduidelijking </w:t>
      </w:r>
      <w:r w:rsidR="000E40F9">
        <w:rPr>
          <w:szCs w:val="18"/>
        </w:rPr>
        <w:t>ter zake van</w:t>
      </w:r>
      <w:r w:rsidRPr="009761C2">
        <w:rPr>
          <w:szCs w:val="18"/>
        </w:rPr>
        <w:t xml:space="preserve"> de voorgestelde wijziging van de definitie v</w:t>
      </w:r>
      <w:r w:rsidR="00785DE4">
        <w:rPr>
          <w:szCs w:val="18"/>
        </w:rPr>
        <w:t>oor het begrip</w:t>
      </w:r>
      <w:r w:rsidRPr="009761C2">
        <w:rPr>
          <w:szCs w:val="18"/>
        </w:rPr>
        <w:t xml:space="preserve"> </w:t>
      </w:r>
      <w:r w:rsidR="00785DE4">
        <w:rPr>
          <w:szCs w:val="18"/>
        </w:rPr>
        <w:t>‘</w:t>
      </w:r>
      <w:r w:rsidRPr="009761C2">
        <w:rPr>
          <w:szCs w:val="18"/>
        </w:rPr>
        <w:t>doorkijkentiteit</w:t>
      </w:r>
      <w:r w:rsidR="00785DE4">
        <w:rPr>
          <w:szCs w:val="18"/>
        </w:rPr>
        <w:t>’ zoals opgenomen</w:t>
      </w:r>
      <w:r w:rsidRPr="009761C2">
        <w:rPr>
          <w:szCs w:val="18"/>
        </w:rPr>
        <w:t xml:space="preserve"> in artikel 1.2 WMB 2024 en de implementatie van de zogenoemde </w:t>
      </w:r>
      <w:proofErr w:type="spellStart"/>
      <w:r w:rsidRPr="00AF52A0">
        <w:rPr>
          <w:szCs w:val="18"/>
        </w:rPr>
        <w:t>reference</w:t>
      </w:r>
      <w:proofErr w:type="spellEnd"/>
      <w:r w:rsidRPr="00AF52A0">
        <w:rPr>
          <w:szCs w:val="18"/>
        </w:rPr>
        <w:t xml:space="preserve"> </w:t>
      </w:r>
      <w:proofErr w:type="spellStart"/>
      <w:r w:rsidRPr="00AF52A0">
        <w:rPr>
          <w:szCs w:val="18"/>
        </w:rPr>
        <w:t>entity</w:t>
      </w:r>
      <w:proofErr w:type="spellEnd"/>
      <w:r w:rsidRPr="00AF52A0">
        <w:rPr>
          <w:szCs w:val="18"/>
        </w:rPr>
        <w:t xml:space="preserve"> approach</w:t>
      </w:r>
      <w:r w:rsidRPr="009761C2">
        <w:rPr>
          <w:szCs w:val="18"/>
        </w:rPr>
        <w:t xml:space="preserve"> uit de administratieve richtsnoeren. Voorts vragen deze leden op welk onderdeel van de administratieve richtsnoeren het voorgestelde artikel 1.2, achtste lid, WMB 2024 is gebaseerd. De voorgestelde wijziging van de definitie </w:t>
      </w:r>
      <w:r w:rsidR="000E40F9">
        <w:rPr>
          <w:szCs w:val="18"/>
        </w:rPr>
        <w:t>voor het begrip</w:t>
      </w:r>
      <w:r w:rsidRPr="009761C2">
        <w:rPr>
          <w:szCs w:val="18"/>
        </w:rPr>
        <w:t xml:space="preserve"> ‘doorkijkentiteit’ in artikel 1.2, eerste lid, WMB 2024 regelt in welke gevallen een doorkijkentiteit kwalificeert als fiscaal transparante entiteit of </w:t>
      </w:r>
      <w:r w:rsidR="000E40F9">
        <w:rPr>
          <w:szCs w:val="18"/>
        </w:rPr>
        <w:t xml:space="preserve">als </w:t>
      </w:r>
      <w:r w:rsidRPr="009761C2">
        <w:rPr>
          <w:szCs w:val="18"/>
        </w:rPr>
        <w:t xml:space="preserve">omgekeerde hybride entiteit </w:t>
      </w:r>
      <w:r w:rsidR="000E40F9">
        <w:rPr>
          <w:szCs w:val="18"/>
        </w:rPr>
        <w:t>in de situatie dat</w:t>
      </w:r>
      <w:r w:rsidRPr="009761C2">
        <w:rPr>
          <w:szCs w:val="18"/>
        </w:rPr>
        <w:t xml:space="preserve"> een belang in een doorkijkentiteit wordt gehouden via een of meer andere doorkijkentiteiten. Met deze voorgestelde wijziging wordt invulling gegeven aan de zogenoemde </w:t>
      </w:r>
      <w:proofErr w:type="spellStart"/>
      <w:r w:rsidRPr="009761C2">
        <w:rPr>
          <w:szCs w:val="18"/>
        </w:rPr>
        <w:t>reference</w:t>
      </w:r>
      <w:proofErr w:type="spellEnd"/>
      <w:r w:rsidRPr="009761C2">
        <w:rPr>
          <w:szCs w:val="18"/>
        </w:rPr>
        <w:t xml:space="preserve"> </w:t>
      </w:r>
      <w:proofErr w:type="spellStart"/>
      <w:r w:rsidRPr="009761C2">
        <w:rPr>
          <w:szCs w:val="18"/>
        </w:rPr>
        <w:t>entity</w:t>
      </w:r>
      <w:proofErr w:type="spellEnd"/>
      <w:r w:rsidRPr="009761C2">
        <w:rPr>
          <w:szCs w:val="18"/>
        </w:rPr>
        <w:t xml:space="preserve"> approach</w:t>
      </w:r>
      <w:r w:rsidR="000E40F9">
        <w:rPr>
          <w:szCs w:val="18"/>
        </w:rPr>
        <w:t xml:space="preserve"> </w:t>
      </w:r>
      <w:r w:rsidRPr="009761C2">
        <w:rPr>
          <w:szCs w:val="18"/>
        </w:rPr>
        <w:t>uit onderdeel 5.2 van de administratieve richtsnoeren van juni 2024.</w:t>
      </w:r>
    </w:p>
    <w:p w:rsidRPr="009761C2" w:rsidR="00F813D4" w:rsidP="00F813D4" w:rsidRDefault="00F813D4" w14:paraId="46BA5189" w14:textId="5C8D34CE">
      <w:pPr>
        <w:contextualSpacing/>
        <w:rPr>
          <w:szCs w:val="18"/>
        </w:rPr>
      </w:pPr>
      <w:r w:rsidRPr="009761C2">
        <w:rPr>
          <w:szCs w:val="18"/>
        </w:rPr>
        <w:t xml:space="preserve">Op grond van het voorgestelde artikel 1.2, achtste lid, WMB 2024 wordt </w:t>
      </w:r>
      <w:r w:rsidRPr="009761C2">
        <w:rPr>
          <w:szCs w:val="18"/>
          <w:lang w:eastAsia="en-US"/>
        </w:rPr>
        <w:t xml:space="preserve">voor de toepassing van de definitie van </w:t>
      </w:r>
      <w:r w:rsidRPr="009761C2">
        <w:rPr>
          <w:szCs w:val="18"/>
        </w:rPr>
        <w:t>‘</w:t>
      </w:r>
      <w:r w:rsidRPr="009761C2">
        <w:rPr>
          <w:szCs w:val="18"/>
          <w:lang w:eastAsia="en-US"/>
        </w:rPr>
        <w:t>doorkijkentiteit</w:t>
      </w:r>
      <w:r w:rsidRPr="009761C2">
        <w:rPr>
          <w:szCs w:val="18"/>
        </w:rPr>
        <w:t xml:space="preserve">’ een doorkijkentiteit die geen </w:t>
      </w:r>
      <w:proofErr w:type="spellStart"/>
      <w:r w:rsidRPr="009761C2">
        <w:rPr>
          <w:szCs w:val="18"/>
        </w:rPr>
        <w:t>uiteindelijkemoederentiteit</w:t>
      </w:r>
      <w:proofErr w:type="spellEnd"/>
      <w:r w:rsidRPr="009761C2">
        <w:rPr>
          <w:szCs w:val="18"/>
        </w:rPr>
        <w:t xml:space="preserve"> is, niet aangemerkt als een belanghouder. Deze voorgestelde wijziging betreft niet de invulling van een onderdeel uit de administratieve richtsnoeren, maar is een technische aanvulling in artikel 1.2 WMB 2024 </w:t>
      </w:r>
      <w:r w:rsidR="000E40F9">
        <w:rPr>
          <w:szCs w:val="18"/>
        </w:rPr>
        <w:t>die samenhangt met</w:t>
      </w:r>
      <w:r w:rsidRPr="009761C2">
        <w:rPr>
          <w:szCs w:val="18"/>
        </w:rPr>
        <w:t xml:space="preserve"> de voorgestelde wijziging van de definitie </w:t>
      </w:r>
      <w:r w:rsidR="000E40F9">
        <w:rPr>
          <w:szCs w:val="18"/>
        </w:rPr>
        <w:t>voor het begrip</w:t>
      </w:r>
      <w:r w:rsidRPr="009761C2">
        <w:rPr>
          <w:szCs w:val="18"/>
        </w:rPr>
        <w:t xml:space="preserve"> ‘doorkijkentiteit’ in artikel 1.2, eerste lid, WMB 2024 en de voorgestelde wijziging van artikel 6.14, derde lid, WMB 2024. </w:t>
      </w:r>
    </w:p>
    <w:p w:rsidRPr="009761C2" w:rsidR="00F813D4" w:rsidP="00A047C2" w:rsidRDefault="00F813D4" w14:paraId="000571B7" w14:textId="77777777">
      <w:pPr>
        <w:contextualSpacing/>
        <w:rPr>
          <w:szCs w:val="18"/>
        </w:rPr>
      </w:pPr>
    </w:p>
    <w:p w:rsidR="00BA388C" w:rsidP="00BA388C" w:rsidRDefault="00CA4C41" w14:paraId="26E77C69" w14:textId="302FB9E6">
      <w:pPr>
        <w:pStyle w:val="Kop1"/>
        <w:numPr>
          <w:ilvl w:val="0"/>
          <w:numId w:val="0"/>
        </w:numPr>
        <w:ind w:left="708" w:firstLine="708"/>
        <w:rPr>
          <w:iCs/>
          <w:color w:val="000000"/>
          <w:szCs w:val="18"/>
        </w:rPr>
      </w:pPr>
      <w:bookmarkStart w:name="_Toc211438733" w:id="10"/>
      <w:r w:rsidRPr="00BA388C">
        <w:rPr>
          <w:iCs/>
          <w:szCs w:val="18"/>
        </w:rPr>
        <w:t xml:space="preserve">8. </w:t>
      </w:r>
      <w:r w:rsidRPr="00BA388C">
        <w:rPr>
          <w:iCs/>
          <w:color w:val="000000"/>
          <w:szCs w:val="18"/>
        </w:rPr>
        <w:t>Joint venture-</w:t>
      </w:r>
      <w:r w:rsidRPr="00AF52A0">
        <w:rPr>
          <w:iCs/>
        </w:rPr>
        <w:t>entiteiten</w:t>
      </w:r>
      <w:r w:rsidRPr="00BA388C" w:rsidR="00785DE4">
        <w:rPr>
          <w:iCs/>
          <w:color w:val="000000"/>
          <w:szCs w:val="18"/>
        </w:rPr>
        <w:t xml:space="preserve"> en f</w:t>
      </w:r>
      <w:r w:rsidRPr="00AF52A0" w:rsidR="00785DE4">
        <w:rPr>
          <w:iCs/>
          <w:color w:val="000000"/>
          <w:szCs w:val="18"/>
        </w:rPr>
        <w:t>orme</w:t>
      </w:r>
      <w:r w:rsidRPr="00BA388C" w:rsidR="006D7000">
        <w:rPr>
          <w:iCs/>
          <w:color w:val="000000"/>
          <w:szCs w:val="18"/>
        </w:rPr>
        <w:t>elrechtelijke</w:t>
      </w:r>
      <w:r w:rsidRPr="00AF52A0" w:rsidR="00785DE4">
        <w:rPr>
          <w:iCs/>
          <w:color w:val="000000"/>
          <w:szCs w:val="18"/>
        </w:rPr>
        <w:t xml:space="preserve"> aspecten</w:t>
      </w:r>
      <w:bookmarkEnd w:id="10"/>
    </w:p>
    <w:p w:rsidRPr="00676B18" w:rsidR="00676B18" w:rsidP="00676B18" w:rsidRDefault="00676B18" w14:paraId="24C862FF" w14:textId="77777777">
      <w:pPr>
        <w:rPr>
          <w:lang w:eastAsia="en-US"/>
        </w:rPr>
      </w:pPr>
    </w:p>
    <w:p w:rsidRPr="009761C2" w:rsidR="005B331D" w:rsidP="005B331D" w:rsidRDefault="00CA4C41" w14:paraId="543610AD" w14:textId="677D56B6">
      <w:pPr>
        <w:rPr>
          <w:color w:val="000000"/>
          <w:szCs w:val="18"/>
        </w:rPr>
      </w:pPr>
      <w:r w:rsidRPr="009761C2">
        <w:rPr>
          <w:color w:val="000000"/>
          <w:szCs w:val="18"/>
        </w:rPr>
        <w:t xml:space="preserve">De leden van de fractie van de VVD vragen het kabinet aan de hand van twee verschillende casusposities inzake joint venture-entiteiten in te gaan op de belasting- en aangifteplicht, het indienen van de </w:t>
      </w:r>
      <w:proofErr w:type="spellStart"/>
      <w:r w:rsidRPr="009761C2">
        <w:rPr>
          <w:color w:val="000000"/>
          <w:szCs w:val="18"/>
        </w:rPr>
        <w:t>bijheffing</w:t>
      </w:r>
      <w:proofErr w:type="spellEnd"/>
      <w:r w:rsidRPr="009761C2">
        <w:rPr>
          <w:color w:val="000000"/>
          <w:szCs w:val="18"/>
        </w:rPr>
        <w:t xml:space="preserve">-informatieaangifte en de aansprakelijkheid </w:t>
      </w:r>
      <w:r w:rsidR="00785DE4">
        <w:rPr>
          <w:color w:val="000000"/>
          <w:szCs w:val="18"/>
        </w:rPr>
        <w:t>voor</w:t>
      </w:r>
      <w:r w:rsidRPr="009761C2">
        <w:rPr>
          <w:color w:val="000000"/>
          <w:szCs w:val="18"/>
        </w:rPr>
        <w:t xml:space="preserve"> de</w:t>
      </w:r>
      <w:r w:rsidR="00785DE4">
        <w:rPr>
          <w:color w:val="000000"/>
          <w:szCs w:val="18"/>
        </w:rPr>
        <w:t xml:space="preserve"> verschuldigde</w:t>
      </w:r>
      <w:r w:rsidRPr="009761C2">
        <w:rPr>
          <w:color w:val="000000"/>
          <w:szCs w:val="18"/>
        </w:rPr>
        <w:t xml:space="preserve"> </w:t>
      </w:r>
      <w:proofErr w:type="spellStart"/>
      <w:r w:rsidRPr="009761C2">
        <w:rPr>
          <w:color w:val="000000"/>
          <w:szCs w:val="18"/>
        </w:rPr>
        <w:t>bijheffing</w:t>
      </w:r>
      <w:proofErr w:type="spellEnd"/>
      <w:r w:rsidRPr="009761C2">
        <w:rPr>
          <w:color w:val="000000"/>
          <w:szCs w:val="18"/>
        </w:rPr>
        <w:t xml:space="preserve">. De belasting- en aangifteplicht van joint venture-entiteiten wordt geregeld </w:t>
      </w:r>
      <w:r w:rsidR="00744059">
        <w:rPr>
          <w:color w:val="000000"/>
          <w:szCs w:val="18"/>
        </w:rPr>
        <w:t>in</w:t>
      </w:r>
      <w:r w:rsidRPr="009761C2">
        <w:rPr>
          <w:color w:val="000000"/>
          <w:szCs w:val="18"/>
        </w:rPr>
        <w:t xml:space="preserve"> de artikelen 3.1, 4.1, 5.1 en 9.4 WMB </w:t>
      </w:r>
      <w:r w:rsidR="003F47F8">
        <w:rPr>
          <w:color w:val="000000"/>
          <w:szCs w:val="18"/>
        </w:rPr>
        <w:t> </w:t>
      </w:r>
      <w:r w:rsidRPr="009761C2">
        <w:rPr>
          <w:color w:val="000000"/>
          <w:szCs w:val="18"/>
        </w:rPr>
        <w:t xml:space="preserve">2024. </w:t>
      </w:r>
      <w:r w:rsidR="007417C5">
        <w:rPr>
          <w:color w:val="000000"/>
          <w:szCs w:val="18"/>
        </w:rPr>
        <w:t>Wie de belastingaangifte dient in te dienen is a</w:t>
      </w:r>
      <w:r w:rsidRPr="009761C2">
        <w:rPr>
          <w:color w:val="000000"/>
          <w:szCs w:val="18"/>
        </w:rPr>
        <w:t>fhankelijk van de</w:t>
      </w:r>
      <w:r w:rsidR="007417C5">
        <w:rPr>
          <w:color w:val="000000"/>
          <w:szCs w:val="18"/>
        </w:rPr>
        <w:t xml:space="preserve"> specifieke</w:t>
      </w:r>
      <w:r w:rsidRPr="009761C2">
        <w:rPr>
          <w:color w:val="000000"/>
          <w:szCs w:val="18"/>
        </w:rPr>
        <w:t xml:space="preserve"> situatie</w:t>
      </w:r>
      <w:r w:rsidR="007417C5">
        <w:rPr>
          <w:color w:val="000000"/>
          <w:szCs w:val="18"/>
        </w:rPr>
        <w:t xml:space="preserve">. In sommige situaties specificeert de </w:t>
      </w:r>
      <w:r w:rsidRPr="009761C2">
        <w:rPr>
          <w:color w:val="000000"/>
          <w:szCs w:val="18"/>
        </w:rPr>
        <w:t>WMB 2024 wie de belastingaangifte</w:t>
      </w:r>
      <w:r w:rsidR="000C7BDB">
        <w:rPr>
          <w:color w:val="000000"/>
          <w:szCs w:val="18"/>
        </w:rPr>
        <w:t xml:space="preserve"> dient te</w:t>
      </w:r>
      <w:r w:rsidRPr="009761C2">
        <w:rPr>
          <w:color w:val="000000"/>
          <w:szCs w:val="18"/>
        </w:rPr>
        <w:t xml:space="preserve"> doen</w:t>
      </w:r>
      <w:r w:rsidR="000C7BDB">
        <w:rPr>
          <w:color w:val="000000"/>
          <w:szCs w:val="18"/>
        </w:rPr>
        <w:t xml:space="preserve">. In andere situaties </w:t>
      </w:r>
      <w:r w:rsidRPr="009761C2">
        <w:rPr>
          <w:color w:val="000000"/>
          <w:szCs w:val="18"/>
        </w:rPr>
        <w:t>bestaat</w:t>
      </w:r>
      <w:r w:rsidR="000C7BDB">
        <w:rPr>
          <w:color w:val="000000"/>
          <w:szCs w:val="18"/>
        </w:rPr>
        <w:t xml:space="preserve"> een keuzemogelijkheid</w:t>
      </w:r>
      <w:r w:rsidRPr="009761C2">
        <w:rPr>
          <w:color w:val="000000"/>
          <w:szCs w:val="18"/>
        </w:rPr>
        <w:t xml:space="preserve"> om een joint venture-entiteit aan te wijzen die de belastingaangifte moet indienen. De </w:t>
      </w:r>
      <w:proofErr w:type="spellStart"/>
      <w:r w:rsidRPr="009761C2">
        <w:rPr>
          <w:color w:val="000000"/>
          <w:szCs w:val="18"/>
        </w:rPr>
        <w:t>bijheffing</w:t>
      </w:r>
      <w:proofErr w:type="spellEnd"/>
      <w:r w:rsidRPr="009761C2">
        <w:rPr>
          <w:color w:val="000000"/>
          <w:szCs w:val="18"/>
        </w:rPr>
        <w:t xml:space="preserve">-informatieaangifte wordt niet door een joint venture-groep ingediend, maar door een groepsentiteit die onderdeel is van de groep die een belang houdt in de joint venture. </w:t>
      </w:r>
      <w:r w:rsidRPr="009761C2" w:rsidR="005B331D">
        <w:rPr>
          <w:color w:val="000000"/>
          <w:szCs w:val="18"/>
        </w:rPr>
        <w:t>Een groep die een belang houdt in een joint venture-groep kan niet aansprakelijk zijn voor een belastingschuld van een joint venture-entiteit in die groep. In de omgekeerde situatie geldt hetzelfde</w:t>
      </w:r>
      <w:r w:rsidR="00A03756">
        <w:rPr>
          <w:color w:val="000000"/>
          <w:szCs w:val="18"/>
        </w:rPr>
        <w:t>,</w:t>
      </w:r>
      <w:r w:rsidRPr="009761C2" w:rsidR="005B331D">
        <w:rPr>
          <w:color w:val="000000"/>
          <w:szCs w:val="18"/>
        </w:rPr>
        <w:t xml:space="preserve"> namelijk dat een joint-venture groep niet aansprakelijk kan zijn voor een belastingschuld van een groepsentiteit die onderdeel is van de groep die een belang houdt in de joint venture-groep. Een joint venture-groep en de groep die een belang houdt in de joint venture-groep worden voor de minimumbelasting</w:t>
      </w:r>
      <w:r w:rsidR="007417C5">
        <w:rPr>
          <w:color w:val="000000"/>
          <w:szCs w:val="18"/>
        </w:rPr>
        <w:t xml:space="preserve"> namelijk</w:t>
      </w:r>
      <w:r w:rsidRPr="009761C2" w:rsidR="005B331D">
        <w:rPr>
          <w:color w:val="000000"/>
          <w:szCs w:val="18"/>
        </w:rPr>
        <w:t xml:space="preserve"> als twee </w:t>
      </w:r>
      <w:r w:rsidR="000C7BDB">
        <w:rPr>
          <w:color w:val="000000"/>
          <w:szCs w:val="18"/>
        </w:rPr>
        <w:t>afzonderlijke</w:t>
      </w:r>
      <w:r w:rsidRPr="009761C2" w:rsidR="005B331D">
        <w:rPr>
          <w:color w:val="000000"/>
          <w:szCs w:val="18"/>
        </w:rPr>
        <w:t xml:space="preserve"> groepen beschouwd, waardoor geen sprake is van onderlinge aansprakelijkheid tussen deze groepen. </w:t>
      </w:r>
    </w:p>
    <w:p w:rsidRPr="009761C2" w:rsidR="00F813D4" w:rsidP="00A047C2" w:rsidRDefault="00F813D4" w14:paraId="07EC9F10" w14:textId="77777777">
      <w:pPr>
        <w:contextualSpacing/>
        <w:rPr>
          <w:szCs w:val="18"/>
        </w:rPr>
      </w:pPr>
    </w:p>
    <w:p w:rsidR="008D3831" w:rsidP="008D3831" w:rsidRDefault="00CA4C41" w14:paraId="7D7DB4E8" w14:textId="024362A9">
      <w:pPr>
        <w:pStyle w:val="Kop1"/>
        <w:numPr>
          <w:ilvl w:val="0"/>
          <w:numId w:val="0"/>
        </w:numPr>
        <w:ind w:left="708" w:firstLine="708"/>
        <w:rPr>
          <w:bCs w:val="0"/>
        </w:rPr>
      </w:pPr>
      <w:bookmarkStart w:name="_Toc211438734" w:id="11"/>
      <w:r w:rsidRPr="009761C2">
        <w:rPr>
          <w:iCs/>
          <w:szCs w:val="18"/>
        </w:rPr>
        <w:t>9</w:t>
      </w:r>
      <w:r w:rsidRPr="009761C2" w:rsidR="00A047C2">
        <w:rPr>
          <w:iCs/>
          <w:szCs w:val="18"/>
        </w:rPr>
        <w:t xml:space="preserve">. </w:t>
      </w:r>
      <w:r w:rsidRPr="008D3831" w:rsidR="00A047C2">
        <w:rPr>
          <w:bCs w:val="0"/>
        </w:rPr>
        <w:t>Belastinglatenties</w:t>
      </w:r>
      <w:bookmarkEnd w:id="11"/>
    </w:p>
    <w:p w:rsidRPr="00676B18" w:rsidR="00676B18" w:rsidP="00676B18" w:rsidRDefault="00676B18" w14:paraId="0C589103" w14:textId="77777777">
      <w:pPr>
        <w:rPr>
          <w:lang w:eastAsia="en-US"/>
        </w:rPr>
      </w:pPr>
    </w:p>
    <w:p w:rsidRPr="009761C2" w:rsidR="00A047C2" w:rsidP="00785DE4" w:rsidRDefault="00A047C2" w14:paraId="1F5EEC41" w14:textId="6AA38074">
      <w:pPr>
        <w:contextualSpacing/>
        <w:rPr>
          <w:szCs w:val="18"/>
        </w:rPr>
      </w:pPr>
      <w:r w:rsidRPr="009761C2">
        <w:rPr>
          <w:szCs w:val="18"/>
        </w:rPr>
        <w:t xml:space="preserve">De leden van de fractie van de VVD vragen of de invoering van de bepalingen over belastinglatenties (artikel 6.6a en artikel 7.3 WMB 2024) zonder terugwerkende kracht kan leiden tot asymmetrische resultaten tussen </w:t>
      </w:r>
      <w:r w:rsidR="00A03756">
        <w:rPr>
          <w:szCs w:val="18"/>
        </w:rPr>
        <w:t>belastingplichtigen</w:t>
      </w:r>
      <w:r w:rsidRPr="009761C2" w:rsidR="00A03756">
        <w:rPr>
          <w:szCs w:val="18"/>
        </w:rPr>
        <w:t xml:space="preserve"> </w:t>
      </w:r>
      <w:r w:rsidRPr="009761C2">
        <w:rPr>
          <w:szCs w:val="18"/>
        </w:rPr>
        <w:t>en</w:t>
      </w:r>
      <w:r w:rsidR="00DB6262">
        <w:rPr>
          <w:szCs w:val="18"/>
        </w:rPr>
        <w:t>, zo ja,</w:t>
      </w:r>
      <w:r w:rsidRPr="009761C2">
        <w:rPr>
          <w:szCs w:val="18"/>
        </w:rPr>
        <w:t xml:space="preserve"> hoe groot deze asymmetrie kan uitvallen. Voorts vragen deze leden </w:t>
      </w:r>
      <w:r w:rsidR="00DB6262">
        <w:rPr>
          <w:szCs w:val="18"/>
        </w:rPr>
        <w:t>hoe wordt geborgd dat</w:t>
      </w:r>
      <w:r w:rsidRPr="009761C2">
        <w:rPr>
          <w:szCs w:val="18"/>
        </w:rPr>
        <w:t xml:space="preserve"> </w:t>
      </w:r>
      <w:r w:rsidR="00A03756">
        <w:rPr>
          <w:szCs w:val="18"/>
        </w:rPr>
        <w:t>belastingplichtigen</w:t>
      </w:r>
      <w:r w:rsidRPr="009761C2" w:rsidR="00A03756">
        <w:rPr>
          <w:szCs w:val="18"/>
        </w:rPr>
        <w:t xml:space="preserve"> </w:t>
      </w:r>
      <w:r w:rsidRPr="009761C2">
        <w:rPr>
          <w:szCs w:val="18"/>
        </w:rPr>
        <w:t>die reeds hebben gehandeld in lijn met de eerdere interpretatie, niet onevenredig worden geraakt</w:t>
      </w:r>
      <w:r w:rsidR="00DB6262">
        <w:rPr>
          <w:szCs w:val="18"/>
        </w:rPr>
        <w:t xml:space="preserve"> door deze wijziging</w:t>
      </w:r>
      <w:r w:rsidRPr="009761C2">
        <w:rPr>
          <w:szCs w:val="18"/>
        </w:rPr>
        <w:t>.</w:t>
      </w:r>
      <w:r w:rsidR="00785DE4">
        <w:rPr>
          <w:szCs w:val="18"/>
        </w:rPr>
        <w:t xml:space="preserve"> </w:t>
      </w:r>
      <w:r w:rsidRPr="009761C2">
        <w:rPr>
          <w:szCs w:val="18"/>
        </w:rPr>
        <w:t xml:space="preserve">Zonder toepassing van de voorgestelde bepalingen in artikel 6.6a en artikel 7.3, vijfde lid, WMB 2024 zou voor </w:t>
      </w:r>
      <w:r w:rsidR="00DB6262">
        <w:rPr>
          <w:szCs w:val="18"/>
        </w:rPr>
        <w:t>het berekenen</w:t>
      </w:r>
      <w:r w:rsidRPr="009761C2">
        <w:rPr>
          <w:szCs w:val="18"/>
        </w:rPr>
        <w:t xml:space="preserve"> van </w:t>
      </w:r>
      <w:r w:rsidR="00DB6262">
        <w:rPr>
          <w:szCs w:val="18"/>
        </w:rPr>
        <w:t xml:space="preserve">het </w:t>
      </w:r>
      <w:r w:rsidRPr="009761C2">
        <w:rPr>
          <w:szCs w:val="18"/>
        </w:rPr>
        <w:t xml:space="preserve">kwalificerende inkomen rekening gehouden kunnen worden met de afwijkende boekwaarden ingevolge één of meer van de andere bepalingen in de WMB 2024, terwijl dat niet zo zou zijn </w:t>
      </w:r>
      <w:r w:rsidR="00A03756">
        <w:rPr>
          <w:szCs w:val="18"/>
        </w:rPr>
        <w:t xml:space="preserve">voor </w:t>
      </w:r>
      <w:r w:rsidRPr="009761C2">
        <w:rPr>
          <w:szCs w:val="18"/>
        </w:rPr>
        <w:t xml:space="preserve">de bepaling van de belastinglatenties die van invloed kunnen zijn op de betrokken belastingen. Dit zou in bepaalde gevallen tot asymmetrische uitkomsten kunnen leiden die zowel ten gunste als ten nadele van belastingplichtigen kunnen zijn. </w:t>
      </w:r>
    </w:p>
    <w:p w:rsidRPr="009761C2" w:rsidR="00FC4924" w:rsidP="00A047C2" w:rsidRDefault="00FC4924" w14:paraId="1C0F9B36" w14:textId="77777777">
      <w:pPr>
        <w:contextualSpacing/>
        <w:rPr>
          <w:szCs w:val="18"/>
        </w:rPr>
      </w:pPr>
    </w:p>
    <w:p w:rsidR="000278F2" w:rsidP="000278F2" w:rsidRDefault="00CA4C41" w14:paraId="2268F4BD" w14:textId="1D83BF21">
      <w:pPr>
        <w:pStyle w:val="Kop1"/>
        <w:numPr>
          <w:ilvl w:val="0"/>
          <w:numId w:val="0"/>
        </w:numPr>
        <w:ind w:left="708" w:firstLine="708"/>
        <w:rPr>
          <w:iCs/>
          <w:szCs w:val="18"/>
        </w:rPr>
      </w:pPr>
      <w:bookmarkStart w:name="_Toc211438735" w:id="12"/>
      <w:r w:rsidRPr="009761C2">
        <w:rPr>
          <w:iCs/>
          <w:szCs w:val="18"/>
        </w:rPr>
        <w:t>10</w:t>
      </w:r>
      <w:r w:rsidRPr="009761C2" w:rsidR="00FC4924">
        <w:rPr>
          <w:iCs/>
          <w:szCs w:val="18"/>
        </w:rPr>
        <w:t>. Switch-off</w:t>
      </w:r>
      <w:r w:rsidR="00E57BA7">
        <w:rPr>
          <w:iCs/>
          <w:szCs w:val="18"/>
        </w:rPr>
        <w:t>-bepaling</w:t>
      </w:r>
      <w:bookmarkEnd w:id="12"/>
    </w:p>
    <w:p w:rsidRPr="00676B18" w:rsidR="00676B18" w:rsidP="00676B18" w:rsidRDefault="00676B18" w14:paraId="0EE215C7" w14:textId="77777777">
      <w:pPr>
        <w:rPr>
          <w:lang w:eastAsia="en-US"/>
        </w:rPr>
      </w:pPr>
    </w:p>
    <w:p w:rsidRPr="009761C2" w:rsidR="00A047C2" w:rsidP="00BC627F" w:rsidRDefault="00A047C2" w14:paraId="0B16AEA3" w14:textId="5AC62AE6">
      <w:pPr>
        <w:contextualSpacing/>
        <w:rPr>
          <w:rFonts w:cs="Arial"/>
          <w:szCs w:val="18"/>
        </w:rPr>
      </w:pPr>
      <w:r w:rsidRPr="009761C2">
        <w:rPr>
          <w:szCs w:val="18"/>
        </w:rPr>
        <w:t xml:space="preserve">De leden van de fractie van de VVD vragen om te bevestigen dat Nederland tijdig en volledig voldoet aan de implementatievereisten uit de administratieve richtsnoeren, </w:t>
      </w:r>
      <w:r w:rsidRPr="00DB6262">
        <w:rPr>
          <w:szCs w:val="18"/>
        </w:rPr>
        <w:t xml:space="preserve">zodat de </w:t>
      </w:r>
      <w:r w:rsidRPr="003F47F8" w:rsidR="00DB6262">
        <w:rPr>
          <w:szCs w:val="18"/>
        </w:rPr>
        <w:t xml:space="preserve">zogenoemde </w:t>
      </w:r>
      <w:r w:rsidRPr="00AF52A0">
        <w:rPr>
          <w:szCs w:val="18"/>
        </w:rPr>
        <w:t>switch-off</w:t>
      </w:r>
      <w:r w:rsidRPr="003F47F8" w:rsidR="00E57BA7">
        <w:rPr>
          <w:szCs w:val="18"/>
        </w:rPr>
        <w:t>-bepaling</w:t>
      </w:r>
      <w:r w:rsidR="00E57BA7">
        <w:rPr>
          <w:i/>
          <w:iCs/>
          <w:szCs w:val="18"/>
        </w:rPr>
        <w:t xml:space="preserve"> </w:t>
      </w:r>
      <w:r w:rsidRPr="00DB6262">
        <w:rPr>
          <w:szCs w:val="18"/>
        </w:rPr>
        <w:t>niet</w:t>
      </w:r>
      <w:r w:rsidRPr="009761C2">
        <w:rPr>
          <w:szCs w:val="18"/>
        </w:rPr>
        <w:t xml:space="preserve"> wordt geactiveerd als </w:t>
      </w:r>
      <w:r w:rsidRPr="00DB6262">
        <w:rPr>
          <w:szCs w:val="18"/>
        </w:rPr>
        <w:t xml:space="preserve">gevolg van de aanwending van een belastinglatentie als bedoeld in artikel 14.1, tweede lid, WMB 2024. Voorts vragen deze leden onder welke omstandigheden de </w:t>
      </w:r>
      <w:r w:rsidRPr="00AF52A0">
        <w:rPr>
          <w:szCs w:val="18"/>
        </w:rPr>
        <w:t>switch-off</w:t>
      </w:r>
      <w:r w:rsidRPr="00DB6262">
        <w:rPr>
          <w:szCs w:val="18"/>
        </w:rPr>
        <w:t xml:space="preserve"> regel zou kunnen worden toegepast en wat dan de gevolgen zijn voor de belastingheffing van in Nederland gevestigde </w:t>
      </w:r>
      <w:r w:rsidRPr="00DB6262" w:rsidR="007E1DDD">
        <w:rPr>
          <w:szCs w:val="18"/>
        </w:rPr>
        <w:t>entiteiten</w:t>
      </w:r>
      <w:r w:rsidRPr="00DB6262">
        <w:rPr>
          <w:szCs w:val="18"/>
        </w:rPr>
        <w:t>.</w:t>
      </w:r>
      <w:r w:rsidRPr="00DB6262" w:rsidR="00DB6262">
        <w:rPr>
          <w:szCs w:val="18"/>
        </w:rPr>
        <w:t xml:space="preserve"> </w:t>
      </w:r>
      <w:r w:rsidRPr="00DB6262">
        <w:rPr>
          <w:szCs w:val="18"/>
        </w:rPr>
        <w:t xml:space="preserve">Het kabinet kan bevestigen dat Nederland tijdig en volledig voldoet aan de implementatievereisten uit de administratieve richtsnoeren. Aangezien in Nederland gevestigde entiteiten geen belastinglatenties kunnen hebben als bedoeld in artikel 14.1, tweede lid, onderdeel b tot en met e, WMB 2024, is er geen reden voor andere </w:t>
      </w:r>
      <w:r w:rsidRPr="00DB6262" w:rsidR="009D74CF">
        <w:rPr>
          <w:szCs w:val="18"/>
        </w:rPr>
        <w:t>staten</w:t>
      </w:r>
      <w:r w:rsidRPr="00DB6262">
        <w:rPr>
          <w:szCs w:val="18"/>
        </w:rPr>
        <w:t xml:space="preserve"> om </w:t>
      </w:r>
      <w:r w:rsidRPr="003F47F8">
        <w:rPr>
          <w:szCs w:val="18"/>
        </w:rPr>
        <w:t xml:space="preserve">de </w:t>
      </w:r>
      <w:r w:rsidRPr="00AF52A0">
        <w:rPr>
          <w:szCs w:val="18"/>
        </w:rPr>
        <w:t>switch-off</w:t>
      </w:r>
      <w:r w:rsidRPr="003F47F8" w:rsidR="00E57BA7">
        <w:rPr>
          <w:szCs w:val="18"/>
        </w:rPr>
        <w:t>-</w:t>
      </w:r>
      <w:r w:rsidRPr="009C223C" w:rsidR="00E57BA7">
        <w:rPr>
          <w:szCs w:val="18"/>
        </w:rPr>
        <w:t>bepaling</w:t>
      </w:r>
      <w:r w:rsidR="00E57BA7">
        <w:rPr>
          <w:szCs w:val="18"/>
        </w:rPr>
        <w:t xml:space="preserve"> </w:t>
      </w:r>
      <w:r w:rsidRPr="00DB6262">
        <w:rPr>
          <w:szCs w:val="18"/>
        </w:rPr>
        <w:t>toe te passen ten aanzien van in Nederland gevestigde entiteiten</w:t>
      </w:r>
      <w:r w:rsidRPr="009761C2">
        <w:rPr>
          <w:szCs w:val="18"/>
        </w:rPr>
        <w:t xml:space="preserve"> die hier zijn onderworpen aan de binnenlandse </w:t>
      </w:r>
      <w:proofErr w:type="spellStart"/>
      <w:r w:rsidRPr="009761C2">
        <w:rPr>
          <w:szCs w:val="18"/>
        </w:rPr>
        <w:t>bijheffing</w:t>
      </w:r>
      <w:proofErr w:type="spellEnd"/>
      <w:r w:rsidRPr="009761C2">
        <w:rPr>
          <w:szCs w:val="18"/>
        </w:rPr>
        <w:t>.</w:t>
      </w:r>
    </w:p>
    <w:p w:rsidRPr="009761C2" w:rsidR="00A047C2" w:rsidP="00A047C2" w:rsidRDefault="00A047C2" w14:paraId="5D7A3312" w14:textId="6BA60772">
      <w:pPr>
        <w:contextualSpacing/>
        <w:rPr>
          <w:szCs w:val="18"/>
        </w:rPr>
      </w:pPr>
      <w:r w:rsidRPr="009761C2">
        <w:rPr>
          <w:szCs w:val="18"/>
        </w:rPr>
        <w:t xml:space="preserve">Daarnaast passen implementerende </w:t>
      </w:r>
      <w:r w:rsidR="009D74CF">
        <w:rPr>
          <w:szCs w:val="18"/>
        </w:rPr>
        <w:t>staten</w:t>
      </w:r>
      <w:r w:rsidRPr="009761C2">
        <w:rPr>
          <w:szCs w:val="18"/>
        </w:rPr>
        <w:t xml:space="preserve">, waaronder Nederland, de </w:t>
      </w:r>
      <w:r w:rsidRPr="003F47F8">
        <w:rPr>
          <w:szCs w:val="18"/>
        </w:rPr>
        <w:t>switch-off</w:t>
      </w:r>
      <w:r w:rsidRPr="003F47F8" w:rsidR="00E57BA7">
        <w:rPr>
          <w:szCs w:val="18"/>
        </w:rPr>
        <w:t>-</w:t>
      </w:r>
      <w:r w:rsidRPr="009C223C" w:rsidR="00E57BA7">
        <w:rPr>
          <w:szCs w:val="18"/>
        </w:rPr>
        <w:t>bepaling</w:t>
      </w:r>
      <w:r w:rsidR="00E57BA7">
        <w:rPr>
          <w:szCs w:val="18"/>
        </w:rPr>
        <w:t xml:space="preserve"> </w:t>
      </w:r>
      <w:r w:rsidRPr="009761C2">
        <w:rPr>
          <w:szCs w:val="18"/>
        </w:rPr>
        <w:t>toe op:</w:t>
      </w:r>
    </w:p>
    <w:p w:rsidRPr="009761C2" w:rsidR="00A047C2" w:rsidP="00A047C2" w:rsidRDefault="00A047C2" w14:paraId="63324720" w14:textId="18FEC973">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 xml:space="preserve">de groepsentiteiten van een multinationale groep in een staat als een van die entiteiten een doorkijkentiteit is die een </w:t>
      </w:r>
      <w:proofErr w:type="spellStart"/>
      <w:r w:rsidRPr="009761C2">
        <w:rPr>
          <w:rFonts w:eastAsia="Times New Roman" w:cs="Times New Roman"/>
          <w:kern w:val="0"/>
          <w:szCs w:val="18"/>
          <w:lang w:eastAsia="nl-NL"/>
          <w14:ligatures w14:val="none"/>
        </w:rPr>
        <w:t>uiteindelijkemoederentiteit</w:t>
      </w:r>
      <w:proofErr w:type="spellEnd"/>
      <w:r w:rsidRPr="009761C2">
        <w:rPr>
          <w:rFonts w:eastAsia="Times New Roman" w:cs="Times New Roman"/>
          <w:kern w:val="0"/>
          <w:szCs w:val="18"/>
          <w:lang w:eastAsia="nl-NL"/>
          <w14:ligatures w14:val="none"/>
        </w:rPr>
        <w:t xml:space="preserve"> is en niet is onderworpen aan een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w:t>
      </w:r>
    </w:p>
    <w:p w:rsidRPr="009761C2" w:rsidR="00A047C2" w:rsidP="00A047C2" w:rsidRDefault="00A047C2" w14:paraId="1ADF75F0" w14:textId="77777777">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een doorkijkentiteit die onderworpen is aan een inkomen-</w:t>
      </w:r>
      <w:proofErr w:type="spellStart"/>
      <w:r w:rsidRPr="009761C2">
        <w:rPr>
          <w:rFonts w:eastAsia="Times New Roman" w:cs="Times New Roman"/>
          <w:kern w:val="0"/>
          <w:szCs w:val="18"/>
          <w:lang w:eastAsia="nl-NL"/>
          <w14:ligatures w14:val="none"/>
        </w:rPr>
        <w:t>inclusiebijheffing</w:t>
      </w:r>
      <w:proofErr w:type="spellEnd"/>
      <w:r w:rsidRPr="009761C2">
        <w:rPr>
          <w:rFonts w:eastAsia="Times New Roman" w:cs="Times New Roman"/>
          <w:kern w:val="0"/>
          <w:szCs w:val="18"/>
          <w:lang w:eastAsia="nl-NL"/>
          <w14:ligatures w14:val="none"/>
        </w:rPr>
        <w:t xml:space="preserve"> en niet aan een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w:t>
      </w:r>
    </w:p>
    <w:p w:rsidRPr="009761C2" w:rsidR="00A047C2" w:rsidP="00A047C2" w:rsidRDefault="00A047C2" w14:paraId="09BC2D77" w14:textId="1ED3334B">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 xml:space="preserve">een entiteit waarbij zonder enige beperking een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 xml:space="preserve"> wordt verminderd op grond van een met artikel 14.2 WMB 2024 vergelijkbare regeling voor multinationale groepen in de aanvangsfase;</w:t>
      </w:r>
    </w:p>
    <w:p w:rsidRPr="009761C2" w:rsidR="00A047C2" w:rsidP="00A047C2" w:rsidRDefault="00A047C2" w14:paraId="1328E754" w14:textId="30E5E3FF">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 xml:space="preserve">beleggingsentiteiten in een staat die in vergelijkbare omstandigheden voor de toepassing van de </w:t>
      </w:r>
      <w:r w:rsidRPr="009761C2" w:rsidR="00FC4924">
        <w:rPr>
          <w:rFonts w:eastAsia="Times New Roman" w:cs="Times New Roman"/>
          <w:kern w:val="0"/>
          <w:szCs w:val="18"/>
          <w:lang w:eastAsia="nl-NL"/>
          <w14:ligatures w14:val="none"/>
        </w:rPr>
        <w:t>WMB</w:t>
      </w:r>
      <w:r w:rsidRPr="009761C2">
        <w:rPr>
          <w:rFonts w:eastAsia="Times New Roman" w:cs="Times New Roman"/>
          <w:kern w:val="0"/>
          <w:szCs w:val="18"/>
          <w:lang w:eastAsia="nl-NL"/>
          <w14:ligatures w14:val="none"/>
        </w:rPr>
        <w:t xml:space="preserve"> 2024 onder de reikwijdte zouden vallen van artikel 10.4, 10.5 of 10.6 WMB 2024 en die niet zijn onderworpen aan een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 xml:space="preserve"> in die staat;</w:t>
      </w:r>
    </w:p>
    <w:p w:rsidRPr="009761C2" w:rsidR="00A047C2" w:rsidP="00A047C2" w:rsidRDefault="00A047C2" w14:paraId="233F44BA" w14:textId="77777777">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 xml:space="preserve">een joint venture of een joint venture-groep ten aanzien waarvan de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 xml:space="preserve"> niet wordt geheven bij de joint venture of de leden van de joint venture-groep;</w:t>
      </w:r>
    </w:p>
    <w:p w:rsidRPr="009761C2" w:rsidR="00A047C2" w:rsidP="00A047C2" w:rsidRDefault="00A047C2" w14:paraId="4D3C6AC9" w14:textId="77777777">
      <w:pPr>
        <w:pStyle w:val="Lijstalinea"/>
        <w:numPr>
          <w:ilvl w:val="0"/>
          <w:numId w:val="4"/>
        </w:numPr>
        <w:spacing w:after="0" w:line="360" w:lineRule="auto"/>
        <w:rPr>
          <w:rFonts w:eastAsia="Times New Roman" w:cs="Times New Roman"/>
          <w:kern w:val="0"/>
          <w:szCs w:val="18"/>
          <w:lang w:eastAsia="nl-NL"/>
          <w14:ligatures w14:val="none"/>
        </w:rPr>
      </w:pPr>
      <w:r w:rsidRPr="009761C2">
        <w:rPr>
          <w:rFonts w:eastAsia="Times New Roman" w:cs="Times New Roman"/>
          <w:kern w:val="0"/>
          <w:szCs w:val="18"/>
          <w:lang w:eastAsia="nl-NL"/>
          <w14:ligatures w14:val="none"/>
        </w:rPr>
        <w:t xml:space="preserve">een staatloze doorkijkentiteit die niet is onderworpen aan een kwalificerende binnenlandse </w:t>
      </w:r>
      <w:proofErr w:type="spellStart"/>
      <w:r w:rsidRPr="009761C2">
        <w:rPr>
          <w:rFonts w:eastAsia="Times New Roman" w:cs="Times New Roman"/>
          <w:kern w:val="0"/>
          <w:szCs w:val="18"/>
          <w:lang w:eastAsia="nl-NL"/>
          <w14:ligatures w14:val="none"/>
        </w:rPr>
        <w:t>bijheffing</w:t>
      </w:r>
      <w:proofErr w:type="spellEnd"/>
      <w:r w:rsidRPr="009761C2">
        <w:rPr>
          <w:rFonts w:eastAsia="Times New Roman" w:cs="Times New Roman"/>
          <w:kern w:val="0"/>
          <w:szCs w:val="18"/>
          <w:lang w:eastAsia="nl-NL"/>
          <w14:ligatures w14:val="none"/>
        </w:rPr>
        <w:t xml:space="preserve"> in de staat waarin zij is opgericht.</w:t>
      </w:r>
    </w:p>
    <w:p w:rsidRPr="009761C2" w:rsidR="00A047C2" w:rsidP="00A047C2" w:rsidRDefault="00A047C2" w14:paraId="21D98B58" w14:textId="3A8643E0">
      <w:pPr>
        <w:rPr>
          <w:szCs w:val="18"/>
        </w:rPr>
      </w:pPr>
      <w:r w:rsidRPr="009761C2">
        <w:rPr>
          <w:szCs w:val="18"/>
        </w:rPr>
        <w:t xml:space="preserve">Van de hierboven genoemde entiteiten zijn alleen doorkijkentiteiten die geen moederentiteit zijn staatloos en daarom in Nederland niet onderworpen aan de binnenlandse </w:t>
      </w:r>
      <w:proofErr w:type="spellStart"/>
      <w:r w:rsidRPr="009761C2">
        <w:rPr>
          <w:szCs w:val="18"/>
        </w:rPr>
        <w:t>bijheffing</w:t>
      </w:r>
      <w:proofErr w:type="spellEnd"/>
      <w:r w:rsidRPr="009761C2">
        <w:rPr>
          <w:szCs w:val="18"/>
        </w:rPr>
        <w:t xml:space="preserve">; bijgevolg passen andere </w:t>
      </w:r>
      <w:r w:rsidR="009D74CF">
        <w:rPr>
          <w:szCs w:val="18"/>
        </w:rPr>
        <w:t>staten</w:t>
      </w:r>
      <w:r w:rsidRPr="009761C2" w:rsidR="009D74CF">
        <w:rPr>
          <w:szCs w:val="18"/>
        </w:rPr>
        <w:t xml:space="preserve"> </w:t>
      </w:r>
      <w:r w:rsidRPr="009761C2">
        <w:rPr>
          <w:szCs w:val="18"/>
        </w:rPr>
        <w:t xml:space="preserve">daarop de </w:t>
      </w:r>
      <w:r w:rsidRPr="00AF52A0">
        <w:rPr>
          <w:i/>
          <w:iCs/>
          <w:szCs w:val="18"/>
        </w:rPr>
        <w:t>switch-off</w:t>
      </w:r>
      <w:r w:rsidRPr="00AF52A0" w:rsidR="00E57BA7">
        <w:rPr>
          <w:i/>
          <w:iCs/>
          <w:szCs w:val="18"/>
        </w:rPr>
        <w:t>-</w:t>
      </w:r>
      <w:r w:rsidRPr="009C223C" w:rsidR="00E57BA7">
        <w:rPr>
          <w:szCs w:val="18"/>
        </w:rPr>
        <w:t>bepaling</w:t>
      </w:r>
      <w:r w:rsidR="009C223C">
        <w:rPr>
          <w:szCs w:val="18"/>
        </w:rPr>
        <w:t xml:space="preserve"> </w:t>
      </w:r>
      <w:r w:rsidRPr="009761C2">
        <w:rPr>
          <w:szCs w:val="18"/>
        </w:rPr>
        <w:t>toe.</w:t>
      </w:r>
    </w:p>
    <w:p w:rsidRPr="009761C2" w:rsidR="00A047C2" w:rsidP="00676B18" w:rsidRDefault="00A047C2" w14:paraId="4C47D930" w14:textId="77777777">
      <w:pPr>
        <w:ind w:left="0"/>
        <w:contextualSpacing/>
        <w:rPr>
          <w:rFonts w:cs="Arial"/>
          <w:szCs w:val="18"/>
        </w:rPr>
      </w:pPr>
    </w:p>
    <w:p w:rsidR="00077F4B" w:rsidP="00077F4B" w:rsidRDefault="00676B18" w14:paraId="1055FBC4" w14:textId="293224D1">
      <w:pPr>
        <w:rPr>
          <w:szCs w:val="18"/>
          <w:lang w:eastAsia="en-US"/>
        </w:rPr>
      </w:pPr>
      <w:r>
        <w:rPr>
          <w:szCs w:val="18"/>
          <w:lang w:eastAsia="en-US"/>
        </w:rPr>
        <w:t>D</w:t>
      </w:r>
      <w:r w:rsidRPr="009761C2" w:rsidR="00077F4B">
        <w:rPr>
          <w:szCs w:val="18"/>
          <w:lang w:eastAsia="en-US"/>
        </w:rPr>
        <w:t xml:space="preserve">e </w:t>
      </w:r>
      <w:r>
        <w:rPr>
          <w:szCs w:val="18"/>
          <w:lang w:eastAsia="en-US"/>
        </w:rPr>
        <w:t>S</w:t>
      </w:r>
      <w:r w:rsidRPr="009761C2" w:rsidR="00077F4B">
        <w:rPr>
          <w:szCs w:val="18"/>
          <w:lang w:eastAsia="en-US"/>
        </w:rPr>
        <w:t>taatssecretaris van Financiën</w:t>
      </w:r>
      <w:r>
        <w:rPr>
          <w:szCs w:val="18"/>
          <w:lang w:eastAsia="en-US"/>
        </w:rPr>
        <w:t>,</w:t>
      </w:r>
    </w:p>
    <w:p w:rsidR="00E02AF4" w:rsidP="00077F4B" w:rsidRDefault="00E02AF4" w14:paraId="432A2122" w14:textId="77777777">
      <w:pPr>
        <w:rPr>
          <w:szCs w:val="18"/>
          <w:lang w:eastAsia="en-US"/>
        </w:rPr>
      </w:pPr>
    </w:p>
    <w:p w:rsidR="00E02AF4" w:rsidP="00077F4B" w:rsidRDefault="00E02AF4" w14:paraId="45D22F5D" w14:textId="77777777">
      <w:pPr>
        <w:rPr>
          <w:szCs w:val="18"/>
          <w:lang w:eastAsia="en-US"/>
        </w:rPr>
      </w:pPr>
    </w:p>
    <w:p w:rsidR="00E02AF4" w:rsidP="00077F4B" w:rsidRDefault="00E02AF4" w14:paraId="18220329" w14:textId="77777777">
      <w:pPr>
        <w:rPr>
          <w:szCs w:val="18"/>
          <w:lang w:eastAsia="en-US"/>
        </w:rPr>
      </w:pPr>
    </w:p>
    <w:p w:rsidR="00E02AF4" w:rsidP="00077F4B" w:rsidRDefault="00E02AF4" w14:paraId="5AAD0A81" w14:textId="77777777">
      <w:pPr>
        <w:rPr>
          <w:szCs w:val="18"/>
          <w:lang w:eastAsia="en-US"/>
        </w:rPr>
      </w:pPr>
    </w:p>
    <w:p w:rsidR="00676B18" w:rsidP="00077F4B" w:rsidRDefault="00676B18" w14:paraId="40E91B1E" w14:textId="77777777">
      <w:pPr>
        <w:rPr>
          <w:szCs w:val="18"/>
          <w:lang w:eastAsia="en-US"/>
        </w:rPr>
      </w:pPr>
    </w:p>
    <w:p w:rsidR="00077F4B" w:rsidP="00077F4B" w:rsidRDefault="00077F4B" w14:paraId="192089DF" w14:textId="77777777">
      <w:pPr>
        <w:contextualSpacing/>
        <w:rPr>
          <w:rFonts w:cs="Arial"/>
          <w:szCs w:val="18"/>
        </w:rPr>
      </w:pPr>
    </w:p>
    <w:p w:rsidR="00113C89" w:rsidRDefault="00113C89" w14:paraId="1310306B" w14:textId="77777777"/>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60DD" w14:textId="77777777" w:rsidR="009D4D36" w:rsidRDefault="009D4D36" w:rsidP="00D43AF5">
      <w:pPr>
        <w:spacing w:line="240" w:lineRule="auto"/>
      </w:pPr>
      <w:r>
        <w:separator/>
      </w:r>
    </w:p>
  </w:endnote>
  <w:endnote w:type="continuationSeparator" w:id="0">
    <w:p w14:paraId="7CF66754" w14:textId="77777777" w:rsidR="009D4D36" w:rsidRDefault="009D4D36" w:rsidP="00D43AF5">
      <w:pPr>
        <w:spacing w:line="240" w:lineRule="auto"/>
      </w:pPr>
      <w:r>
        <w:continuationSeparator/>
      </w:r>
    </w:p>
  </w:endnote>
  <w:endnote w:type="continuationNotice" w:id="1">
    <w:p w14:paraId="1FD24640" w14:textId="77777777" w:rsidR="009D4D36" w:rsidRDefault="009D4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Light">
    <w:altName w:val="Calibri"/>
    <w:charset w:val="00"/>
    <w:family w:val="auto"/>
    <w:pitch w:val="variable"/>
    <w:sig w:usb0="A00002AF" w:usb1="5000206A" w:usb2="00000000" w:usb3="00000000" w:csb0="000000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47046"/>
      <w:docPartObj>
        <w:docPartGallery w:val="Page Numbers (Bottom of Page)"/>
        <w:docPartUnique/>
      </w:docPartObj>
    </w:sdtPr>
    <w:sdtEndPr/>
    <w:sdtContent>
      <w:p w14:paraId="288BB89A" w14:textId="3446E7A5" w:rsidR="00B45AD7" w:rsidRDefault="00B45AD7">
        <w:pPr>
          <w:pStyle w:val="Voettekst"/>
          <w:jc w:val="right"/>
        </w:pPr>
        <w:r>
          <w:fldChar w:fldCharType="begin"/>
        </w:r>
        <w:r>
          <w:instrText>PAGE   \* MERGEFORMAT</w:instrText>
        </w:r>
        <w:r>
          <w:fldChar w:fldCharType="separate"/>
        </w:r>
        <w:r>
          <w:t>2</w:t>
        </w:r>
        <w:r>
          <w:fldChar w:fldCharType="end"/>
        </w:r>
      </w:p>
    </w:sdtContent>
  </w:sdt>
  <w:p w14:paraId="4701E723" w14:textId="77777777" w:rsidR="00B45AD7" w:rsidRDefault="00B45A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89F5" w14:textId="77777777" w:rsidR="009D4D36" w:rsidRDefault="009D4D36" w:rsidP="00D43AF5">
      <w:pPr>
        <w:spacing w:line="240" w:lineRule="auto"/>
      </w:pPr>
      <w:r>
        <w:separator/>
      </w:r>
    </w:p>
  </w:footnote>
  <w:footnote w:type="continuationSeparator" w:id="0">
    <w:p w14:paraId="041F22CA" w14:textId="77777777" w:rsidR="009D4D36" w:rsidRDefault="009D4D36" w:rsidP="00D43AF5">
      <w:pPr>
        <w:spacing w:line="240" w:lineRule="auto"/>
      </w:pPr>
      <w:r>
        <w:continuationSeparator/>
      </w:r>
    </w:p>
  </w:footnote>
  <w:footnote w:type="continuationNotice" w:id="1">
    <w:p w14:paraId="71874F32" w14:textId="77777777" w:rsidR="009D4D36" w:rsidRDefault="009D4D36">
      <w:pPr>
        <w:spacing w:line="240" w:lineRule="auto"/>
      </w:pPr>
    </w:p>
  </w:footnote>
  <w:footnote w:id="2">
    <w:p w14:paraId="631EEA30" w14:textId="77777777" w:rsidR="00B3414E" w:rsidRPr="007B01E0" w:rsidRDefault="00B3414E" w:rsidP="00B3414E">
      <w:pPr>
        <w:pStyle w:val="Voetnoottekst"/>
        <w:rPr>
          <w:sz w:val="13"/>
          <w:szCs w:val="13"/>
        </w:rPr>
      </w:pPr>
      <w:r w:rsidRPr="007B01E0">
        <w:rPr>
          <w:rStyle w:val="Voetnootmarkering"/>
          <w:sz w:val="13"/>
          <w:szCs w:val="13"/>
        </w:rPr>
        <w:footnoteRef/>
      </w:r>
      <w:r w:rsidRPr="007B01E0">
        <w:rPr>
          <w:sz w:val="13"/>
          <w:szCs w:val="13"/>
        </w:rPr>
        <w:t xml:space="preserve"> Richtlijn (EU) 2022/2523 van de Raad van 14 december 2022, tot waarborging van een mondiaal minimumniveau van belastingheffing voor groepen van multinationale ondernemingen en omvangrijke binnenlandse groepen in de Unie.  </w:t>
      </w:r>
    </w:p>
  </w:footnote>
  <w:footnote w:id="3">
    <w:p w14:paraId="3B4B6D8A"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(2021),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 – Global Anti-Base Erosion Model Rules (Pillar Two)</w:t>
      </w:r>
      <w:r w:rsidRPr="007B01E0">
        <w:rPr>
          <w:sz w:val="13"/>
          <w:szCs w:val="13"/>
          <w:lang w:val="en-US"/>
        </w:rPr>
        <w:t xml:space="preserve">: Inclusive Framework on BEPS, OECD Publishing, Paris.  </w:t>
      </w:r>
    </w:p>
  </w:footnote>
  <w:footnote w:id="4">
    <w:p w14:paraId="57B619DA"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(2023),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 – Administrative Guidance on the Global Anti-Base Erosion Model Rules (Pillar Two)</w:t>
      </w:r>
      <w:r w:rsidRPr="007B01E0">
        <w:rPr>
          <w:sz w:val="13"/>
          <w:szCs w:val="13"/>
          <w:lang w:val="en-US"/>
        </w:rPr>
        <w:t xml:space="preserve">, February 2023, OECD/G20 Inclusive Framework on BEPS, OECD, Paris.  </w:t>
      </w:r>
    </w:p>
  </w:footnote>
  <w:footnote w:id="5">
    <w:p w14:paraId="000AAE6B"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(2023),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 – Administrative Guidance on the Global Anti-Base Erosion Model Rules (Pillar Two), </w:t>
      </w:r>
      <w:r w:rsidRPr="007B01E0">
        <w:rPr>
          <w:sz w:val="13"/>
          <w:szCs w:val="13"/>
          <w:lang w:val="en-US"/>
        </w:rPr>
        <w:t xml:space="preserve">July 2023, OECD/G20 Inclusive Framework on BEPS, OECD, Paris.  </w:t>
      </w:r>
    </w:p>
  </w:footnote>
  <w:footnote w:id="6">
    <w:p w14:paraId="34D1F9C4"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(2023),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 – Administrative Guidance on the Global Anti-Base Erosion Model Rules (Pillar Two), </w:t>
      </w:r>
      <w:r w:rsidRPr="007B01E0">
        <w:rPr>
          <w:sz w:val="13"/>
          <w:szCs w:val="13"/>
          <w:lang w:val="en-US"/>
        </w:rPr>
        <w:t xml:space="preserve">December 2023, OECD/G20 Inclusive Framework on BEPS, OECD, Paris.  </w:t>
      </w:r>
    </w:p>
  </w:footnote>
  <w:footnote w:id="7">
    <w:p w14:paraId="7667A533"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(2024),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w:t>
      </w:r>
      <w:r w:rsidRPr="007B01E0">
        <w:rPr>
          <w:sz w:val="13"/>
          <w:szCs w:val="13"/>
          <w:lang w:val="en-US"/>
        </w:rPr>
        <w:t xml:space="preserve"> – </w:t>
      </w:r>
      <w:r w:rsidRPr="007B01E0">
        <w:rPr>
          <w:i/>
          <w:iCs/>
          <w:sz w:val="13"/>
          <w:szCs w:val="13"/>
          <w:lang w:val="en-US"/>
        </w:rPr>
        <w:t>Administrative Guidance on the Global Anti-Base Erosion Model Rules (Pillar Two)</w:t>
      </w:r>
      <w:r w:rsidRPr="007B01E0">
        <w:rPr>
          <w:sz w:val="13"/>
          <w:szCs w:val="13"/>
          <w:lang w:val="en-US"/>
        </w:rPr>
        <w:t xml:space="preserve">, June 2024, OECD/G20 Inclusive Framework on BEPS, OECD, Paris.  </w:t>
      </w:r>
    </w:p>
  </w:footnote>
  <w:footnote w:id="8">
    <w:p w14:paraId="01398A92" w14:textId="77777777"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(2024),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w:t>
      </w:r>
      <w:r w:rsidRPr="007B01E0">
        <w:rPr>
          <w:sz w:val="13"/>
          <w:szCs w:val="13"/>
          <w:lang w:val="en-US"/>
        </w:rPr>
        <w:t xml:space="preserve"> – </w:t>
      </w:r>
      <w:r w:rsidRPr="007B01E0">
        <w:rPr>
          <w:i/>
          <w:iCs/>
          <w:sz w:val="13"/>
          <w:szCs w:val="13"/>
          <w:lang w:val="en-US"/>
        </w:rPr>
        <w:t>Administrative Guidance on the Global Anti-Base Erosion Model Rules (Pillar Two)</w:t>
      </w:r>
      <w:r w:rsidRPr="007B01E0">
        <w:rPr>
          <w:sz w:val="13"/>
          <w:szCs w:val="13"/>
          <w:lang w:val="en-US"/>
        </w:rPr>
        <w:t xml:space="preserve">, January 2025, OECD/G20 Inclusive Framework on BEPS, OECD, Paris.  </w:t>
      </w:r>
    </w:p>
  </w:footnote>
  <w:footnote w:id="9">
    <w:p w14:paraId="1785AC07" w14:textId="0CC6B6FA" w:rsidR="007B01E0" w:rsidRPr="007B01E0" w:rsidRDefault="007B01E0" w:rsidP="007B01E0">
      <w:pPr>
        <w:pStyle w:val="Voetnoottekst"/>
        <w:rPr>
          <w:sz w:val="13"/>
          <w:szCs w:val="13"/>
          <w:lang w:val="en-US"/>
        </w:rPr>
      </w:pPr>
      <w:r w:rsidRPr="007B01E0">
        <w:rPr>
          <w:rStyle w:val="Voetnootmarkering"/>
          <w:sz w:val="13"/>
          <w:szCs w:val="13"/>
        </w:rPr>
        <w:footnoteRef/>
      </w:r>
      <w:r w:rsidRPr="007B01E0">
        <w:rPr>
          <w:sz w:val="13"/>
          <w:szCs w:val="13"/>
          <w:lang w:val="en-US"/>
        </w:rPr>
        <w:t xml:space="preserve"> De administrative </w:t>
      </w:r>
      <w:proofErr w:type="spellStart"/>
      <w:r w:rsidRPr="007B01E0">
        <w:rPr>
          <w:sz w:val="13"/>
          <w:szCs w:val="13"/>
          <w:lang w:val="en-US"/>
        </w:rPr>
        <w:t>richtsnoeren</w:t>
      </w:r>
      <w:proofErr w:type="spellEnd"/>
      <w:r w:rsidRPr="007B01E0">
        <w:rPr>
          <w:sz w:val="13"/>
          <w:szCs w:val="13"/>
          <w:lang w:val="en-US"/>
        </w:rPr>
        <w:t xml:space="preserve"> tot </w:t>
      </w:r>
      <w:proofErr w:type="spellStart"/>
      <w:r w:rsidRPr="007B01E0">
        <w:rPr>
          <w:sz w:val="13"/>
          <w:szCs w:val="13"/>
          <w:lang w:val="en-US"/>
        </w:rPr>
        <w:t>en</w:t>
      </w:r>
      <w:proofErr w:type="spellEnd"/>
      <w:r w:rsidRPr="007B01E0">
        <w:rPr>
          <w:sz w:val="13"/>
          <w:szCs w:val="13"/>
          <w:lang w:val="en-US"/>
        </w:rPr>
        <w:t xml:space="preserve"> met </w:t>
      </w:r>
      <w:proofErr w:type="spellStart"/>
      <w:r w:rsidRPr="007B01E0">
        <w:rPr>
          <w:sz w:val="13"/>
          <w:szCs w:val="13"/>
          <w:lang w:val="en-US"/>
        </w:rPr>
        <w:t>januari</w:t>
      </w:r>
      <w:proofErr w:type="spellEnd"/>
      <w:r w:rsidRPr="007B01E0">
        <w:rPr>
          <w:sz w:val="13"/>
          <w:szCs w:val="13"/>
          <w:lang w:val="en-US"/>
        </w:rPr>
        <w:t xml:space="preserve"> 2025 </w:t>
      </w:r>
      <w:proofErr w:type="spellStart"/>
      <w:r w:rsidRPr="007B01E0">
        <w:rPr>
          <w:sz w:val="13"/>
          <w:szCs w:val="13"/>
          <w:lang w:val="en-US"/>
        </w:rPr>
        <w:t>zijn</w:t>
      </w:r>
      <w:proofErr w:type="spellEnd"/>
      <w:r w:rsidRPr="007B01E0">
        <w:rPr>
          <w:sz w:val="13"/>
          <w:szCs w:val="13"/>
          <w:lang w:val="en-US"/>
        </w:rPr>
        <w:t xml:space="preserve"> </w:t>
      </w:r>
      <w:proofErr w:type="spellStart"/>
      <w:r w:rsidRPr="007B01E0">
        <w:rPr>
          <w:sz w:val="13"/>
          <w:szCs w:val="13"/>
          <w:lang w:val="en-US"/>
        </w:rPr>
        <w:t>inmiddels</w:t>
      </w:r>
      <w:proofErr w:type="spellEnd"/>
      <w:r w:rsidRPr="007B01E0">
        <w:rPr>
          <w:sz w:val="13"/>
          <w:szCs w:val="13"/>
          <w:lang w:val="en-US"/>
        </w:rPr>
        <w:t xml:space="preserve"> </w:t>
      </w:r>
      <w:proofErr w:type="spellStart"/>
      <w:r w:rsidRPr="007B01E0">
        <w:rPr>
          <w:sz w:val="13"/>
          <w:szCs w:val="13"/>
          <w:lang w:val="en-US"/>
        </w:rPr>
        <w:t>verwerkt</w:t>
      </w:r>
      <w:proofErr w:type="spellEnd"/>
      <w:r w:rsidRPr="007B01E0">
        <w:rPr>
          <w:sz w:val="13"/>
          <w:szCs w:val="13"/>
          <w:lang w:val="en-US"/>
        </w:rPr>
        <w:t xml:space="preserve"> in </w:t>
      </w:r>
      <w:proofErr w:type="spellStart"/>
      <w:r w:rsidRPr="007B01E0">
        <w:rPr>
          <w:sz w:val="13"/>
          <w:szCs w:val="13"/>
          <w:lang w:val="en-US"/>
        </w:rPr>
        <w:t>een</w:t>
      </w:r>
      <w:proofErr w:type="spellEnd"/>
      <w:r w:rsidRPr="007B01E0">
        <w:rPr>
          <w:sz w:val="13"/>
          <w:szCs w:val="13"/>
          <w:lang w:val="en-US"/>
        </w:rPr>
        <w:t xml:space="preserve"> </w:t>
      </w:r>
      <w:proofErr w:type="spellStart"/>
      <w:r w:rsidRPr="007B01E0">
        <w:rPr>
          <w:sz w:val="13"/>
          <w:szCs w:val="13"/>
          <w:lang w:val="en-US"/>
        </w:rPr>
        <w:t>geconsolideerde</w:t>
      </w:r>
      <w:proofErr w:type="spellEnd"/>
      <w:r w:rsidRPr="007B01E0">
        <w:rPr>
          <w:sz w:val="13"/>
          <w:szCs w:val="13"/>
          <w:lang w:val="en-US"/>
        </w:rPr>
        <w:t xml:space="preserve"> </w:t>
      </w:r>
      <w:proofErr w:type="spellStart"/>
      <w:r w:rsidRPr="007B01E0">
        <w:rPr>
          <w:sz w:val="13"/>
          <w:szCs w:val="13"/>
          <w:lang w:val="en-US"/>
        </w:rPr>
        <w:t>versie</w:t>
      </w:r>
      <w:proofErr w:type="spellEnd"/>
      <w:r w:rsidRPr="007B01E0">
        <w:rPr>
          <w:sz w:val="13"/>
          <w:szCs w:val="13"/>
          <w:lang w:val="en-US"/>
        </w:rPr>
        <w:t xml:space="preserve"> van het </w:t>
      </w:r>
      <w:proofErr w:type="spellStart"/>
      <w:r w:rsidRPr="007B01E0">
        <w:rPr>
          <w:sz w:val="13"/>
          <w:szCs w:val="13"/>
          <w:lang w:val="en-US"/>
        </w:rPr>
        <w:t>commentaar</w:t>
      </w:r>
      <w:proofErr w:type="spellEnd"/>
      <w:r w:rsidRPr="007B01E0">
        <w:rPr>
          <w:sz w:val="13"/>
          <w:szCs w:val="13"/>
          <w:lang w:val="en-US"/>
        </w:rPr>
        <w:t xml:space="preserve"> op de OESO-</w:t>
      </w:r>
      <w:proofErr w:type="spellStart"/>
      <w:r w:rsidRPr="007B01E0">
        <w:rPr>
          <w:sz w:val="13"/>
          <w:szCs w:val="13"/>
          <w:lang w:val="en-US"/>
        </w:rPr>
        <w:t>modelregels</w:t>
      </w:r>
      <w:proofErr w:type="spellEnd"/>
      <w:r w:rsidRPr="007B01E0">
        <w:rPr>
          <w:sz w:val="13"/>
          <w:szCs w:val="13"/>
          <w:lang w:val="en-US"/>
        </w:rPr>
        <w:t xml:space="preserve">, </w:t>
      </w:r>
      <w:proofErr w:type="spellStart"/>
      <w:r w:rsidRPr="007B01E0">
        <w:rPr>
          <w:sz w:val="13"/>
          <w:szCs w:val="13"/>
          <w:lang w:val="en-US"/>
        </w:rPr>
        <w:t>zie</w:t>
      </w:r>
      <w:proofErr w:type="spellEnd"/>
      <w:r w:rsidRPr="007B01E0">
        <w:rPr>
          <w:sz w:val="13"/>
          <w:szCs w:val="13"/>
          <w:lang w:val="en-US"/>
        </w:rPr>
        <w:t xml:space="preserve">: OECD (2025), </w:t>
      </w:r>
      <w:r w:rsidRPr="00AF52A0">
        <w:rPr>
          <w:i/>
          <w:iCs/>
          <w:sz w:val="13"/>
          <w:szCs w:val="13"/>
          <w:lang w:val="en-US"/>
        </w:rPr>
        <w:t xml:space="preserve">Tax Challenges Arising from the </w:t>
      </w:r>
      <w:proofErr w:type="spellStart"/>
      <w:r w:rsidRPr="00AF52A0">
        <w:rPr>
          <w:i/>
          <w:iCs/>
          <w:sz w:val="13"/>
          <w:szCs w:val="13"/>
          <w:lang w:val="en-US"/>
        </w:rPr>
        <w:t>Digitalisation</w:t>
      </w:r>
      <w:proofErr w:type="spellEnd"/>
      <w:r w:rsidRPr="00AF52A0">
        <w:rPr>
          <w:i/>
          <w:iCs/>
          <w:sz w:val="13"/>
          <w:szCs w:val="13"/>
          <w:lang w:val="en-US"/>
        </w:rPr>
        <w:t xml:space="preserve"> of the Economy – Consolidated Commentary to the Global Anti-Base Erosion Model Rules (2025): Inclusive Framework on BEPS, OECD/G20 Base Erosion and Profit Shifting Project</w:t>
      </w:r>
      <w:r w:rsidRPr="007B01E0">
        <w:rPr>
          <w:sz w:val="13"/>
          <w:szCs w:val="13"/>
          <w:lang w:val="en-US"/>
        </w:rPr>
        <w:t xml:space="preserve">, OECD Publishing, Paris. </w:t>
      </w:r>
    </w:p>
  </w:footnote>
  <w:footnote w:id="10">
    <w:p w14:paraId="12B472E8" w14:textId="77777777" w:rsidR="007B01E0" w:rsidRPr="007B01E0" w:rsidRDefault="007B01E0" w:rsidP="007B01E0">
      <w:pPr>
        <w:pStyle w:val="Voetnoottekst"/>
        <w:rPr>
          <w:sz w:val="13"/>
          <w:szCs w:val="13"/>
        </w:rPr>
      </w:pPr>
      <w:r w:rsidRPr="007B01E0">
        <w:rPr>
          <w:rStyle w:val="Voetnootmarkering"/>
          <w:sz w:val="13"/>
          <w:szCs w:val="13"/>
        </w:rPr>
        <w:footnoteRef/>
      </w:r>
      <w:r w:rsidRPr="007B01E0">
        <w:rPr>
          <w:sz w:val="13"/>
          <w:szCs w:val="13"/>
        </w:rPr>
        <w:t xml:space="preserve"> Kamerstukken II, 2022/23, 36369, nr. 2. </w:t>
      </w:r>
    </w:p>
  </w:footnote>
  <w:footnote w:id="11">
    <w:p w14:paraId="2FA8DC24" w14:textId="77777777" w:rsidR="007B01E0" w:rsidRPr="007B01E0" w:rsidRDefault="007B01E0" w:rsidP="007B01E0">
      <w:pPr>
        <w:pStyle w:val="Voetnoottekst"/>
        <w:rPr>
          <w:sz w:val="13"/>
          <w:szCs w:val="13"/>
        </w:rPr>
      </w:pPr>
      <w:r w:rsidRPr="007B01E0">
        <w:rPr>
          <w:rStyle w:val="Voetnootmarkering"/>
          <w:sz w:val="13"/>
          <w:szCs w:val="13"/>
        </w:rPr>
        <w:footnoteRef/>
      </w:r>
      <w:r w:rsidRPr="007B01E0">
        <w:rPr>
          <w:sz w:val="13"/>
          <w:szCs w:val="13"/>
        </w:rPr>
        <w:t xml:space="preserve"> Kamerstukken II 2023/24, 36369, nr. 7.</w:t>
      </w:r>
    </w:p>
  </w:footnote>
  <w:footnote w:id="12">
    <w:p w14:paraId="7C120AD8" w14:textId="77777777" w:rsidR="007B01E0" w:rsidRPr="007B01E0" w:rsidRDefault="007B01E0" w:rsidP="007B01E0">
      <w:pPr>
        <w:pStyle w:val="Voetnoottekst"/>
        <w:rPr>
          <w:sz w:val="13"/>
          <w:szCs w:val="13"/>
        </w:rPr>
      </w:pPr>
      <w:r w:rsidRPr="007B01E0">
        <w:rPr>
          <w:rStyle w:val="Voetnootmarkering"/>
          <w:sz w:val="13"/>
          <w:szCs w:val="13"/>
        </w:rPr>
        <w:footnoteRef/>
      </w:r>
      <w:r w:rsidRPr="007B01E0">
        <w:rPr>
          <w:sz w:val="13"/>
          <w:szCs w:val="13"/>
        </w:rPr>
        <w:t xml:space="preserve"> Wet van 18 december 2024 tot wijziging van de Wet minimumbelasting 2024 in verband met een</w:t>
      </w:r>
    </w:p>
    <w:p w14:paraId="5B370265" w14:textId="77777777" w:rsidR="007B01E0" w:rsidRPr="007B01E0" w:rsidRDefault="007B01E0" w:rsidP="007B01E0">
      <w:pPr>
        <w:pStyle w:val="Voetnoottekst"/>
        <w:rPr>
          <w:sz w:val="13"/>
          <w:szCs w:val="13"/>
        </w:rPr>
      </w:pPr>
      <w:r w:rsidRPr="007B01E0">
        <w:rPr>
          <w:sz w:val="13"/>
          <w:szCs w:val="13"/>
        </w:rPr>
        <w:t xml:space="preserve">aantal technische wijzigingen, Stb. 2024, 438. Het betreffende wetsvoorstel was onderdeel van het pakket Belastingplan 2025.  </w:t>
      </w:r>
    </w:p>
  </w:footnote>
  <w:footnote w:id="13">
    <w:p w14:paraId="2AAB08C2" w14:textId="5332A09B" w:rsidR="00530B63" w:rsidRPr="007B01E0" w:rsidRDefault="00530B63" w:rsidP="00530B63">
      <w:pPr>
        <w:pStyle w:val="Voetnoottekst"/>
        <w:rPr>
          <w:sz w:val="13"/>
          <w:szCs w:val="13"/>
          <w:lang w:val="en-US"/>
        </w:rPr>
      </w:pPr>
      <w:r w:rsidRPr="007B01E0">
        <w:rPr>
          <w:rStyle w:val="Voetnootmarkering"/>
          <w:sz w:val="13"/>
          <w:szCs w:val="13"/>
        </w:rPr>
        <w:footnoteRef/>
      </w:r>
      <w:r w:rsidRPr="007B01E0">
        <w:rPr>
          <w:sz w:val="13"/>
          <w:szCs w:val="13"/>
          <w:lang w:val="en-US"/>
        </w:rPr>
        <w:t xml:space="preserve"> </w:t>
      </w:r>
      <w:proofErr w:type="spellStart"/>
      <w:r w:rsidRPr="007B01E0">
        <w:rPr>
          <w:sz w:val="13"/>
          <w:szCs w:val="13"/>
          <w:lang w:val="en-US"/>
        </w:rPr>
        <w:t>Kamerstukken</w:t>
      </w:r>
      <w:proofErr w:type="spellEnd"/>
      <w:r w:rsidRPr="007B01E0">
        <w:rPr>
          <w:sz w:val="13"/>
          <w:szCs w:val="13"/>
          <w:lang w:val="en-US"/>
        </w:rPr>
        <w:t xml:space="preserve"> II 2023/24, 36369, nr. 6</w:t>
      </w:r>
      <w:r w:rsidR="007C77BC">
        <w:rPr>
          <w:sz w:val="13"/>
          <w:szCs w:val="13"/>
          <w:lang w:val="en-US"/>
        </w:rPr>
        <w:t>,</w:t>
      </w:r>
      <w:r w:rsidRPr="007B01E0">
        <w:rPr>
          <w:sz w:val="13"/>
          <w:szCs w:val="13"/>
          <w:lang w:val="en-US"/>
        </w:rPr>
        <w:t xml:space="preserve"> </w:t>
      </w:r>
      <w:r w:rsidR="007C77BC">
        <w:rPr>
          <w:sz w:val="13"/>
          <w:szCs w:val="13"/>
          <w:lang w:val="en-US"/>
        </w:rPr>
        <w:t>p</w:t>
      </w:r>
      <w:r w:rsidR="00E02AF4">
        <w:rPr>
          <w:sz w:val="13"/>
          <w:szCs w:val="13"/>
          <w:lang w:val="en-US"/>
        </w:rPr>
        <w:t>.</w:t>
      </w:r>
      <w:r w:rsidRPr="007B01E0">
        <w:rPr>
          <w:sz w:val="13"/>
          <w:szCs w:val="13"/>
          <w:lang w:val="en-US"/>
        </w:rPr>
        <w:t xml:space="preserve"> 18</w:t>
      </w:r>
      <w:r w:rsidR="00E02AF4">
        <w:rPr>
          <w:sz w:val="13"/>
          <w:szCs w:val="13"/>
          <w:lang w:val="en-US"/>
        </w:rPr>
        <w:t>-</w:t>
      </w:r>
      <w:r w:rsidRPr="007B01E0">
        <w:rPr>
          <w:sz w:val="13"/>
          <w:szCs w:val="13"/>
          <w:lang w:val="en-US"/>
        </w:rPr>
        <w:t xml:space="preserve">19.  </w:t>
      </w:r>
    </w:p>
  </w:footnote>
  <w:footnote w:id="14">
    <w:p w14:paraId="592C3126" w14:textId="77777777" w:rsidR="004017E1" w:rsidRPr="007B01E0" w:rsidRDefault="004017E1" w:rsidP="004017E1">
      <w:pPr>
        <w:pStyle w:val="Voetnoottekst"/>
        <w:rPr>
          <w:sz w:val="13"/>
          <w:szCs w:val="13"/>
          <w:lang w:val="en-US"/>
        </w:rPr>
      </w:pPr>
      <w:r w:rsidRPr="007B01E0">
        <w:rPr>
          <w:rStyle w:val="Voetnootmarkering"/>
          <w:sz w:val="13"/>
          <w:szCs w:val="13"/>
        </w:rPr>
        <w:footnoteRef/>
      </w:r>
      <w:r w:rsidRPr="007B01E0">
        <w:rPr>
          <w:sz w:val="13"/>
          <w:szCs w:val="13"/>
          <w:lang w:val="en-US"/>
        </w:rPr>
        <w:t xml:space="preserve"> OECD (2022), </w:t>
      </w:r>
      <w:r w:rsidRPr="007B01E0">
        <w:rPr>
          <w:i/>
          <w:iCs/>
          <w:sz w:val="13"/>
          <w:szCs w:val="13"/>
          <w:lang w:val="en-US"/>
        </w:rPr>
        <w:t xml:space="preserve">Tax Challenges Arising from the </w:t>
      </w:r>
      <w:proofErr w:type="spellStart"/>
      <w:r w:rsidRPr="007B01E0">
        <w:rPr>
          <w:i/>
          <w:iCs/>
          <w:sz w:val="13"/>
          <w:szCs w:val="13"/>
          <w:lang w:val="en-US"/>
        </w:rPr>
        <w:t>Digitalisation</w:t>
      </w:r>
      <w:proofErr w:type="spellEnd"/>
      <w:r w:rsidRPr="007B01E0">
        <w:rPr>
          <w:i/>
          <w:iCs/>
          <w:sz w:val="13"/>
          <w:szCs w:val="13"/>
          <w:lang w:val="en-US"/>
        </w:rPr>
        <w:t xml:space="preserve"> of the Economy – Commentary to the Global Anti-Base Erosion Model Rules (Pillar Two), First Edition: Inclusive Framework on BEPS</w:t>
      </w:r>
      <w:r w:rsidRPr="007B01E0">
        <w:rPr>
          <w:sz w:val="13"/>
          <w:szCs w:val="13"/>
          <w:lang w:val="en-US"/>
        </w:rPr>
        <w:t xml:space="preserve">, OECD Publishing, Paris.  </w:t>
      </w:r>
    </w:p>
  </w:footnote>
  <w:footnote w:id="15">
    <w:p w14:paraId="1A95E09F" w14:textId="77777777" w:rsidR="004017E1" w:rsidRPr="00295821" w:rsidRDefault="004017E1" w:rsidP="004017E1">
      <w:pPr>
        <w:pStyle w:val="Voetnoottekst"/>
      </w:pPr>
      <w:r w:rsidRPr="007B01E0">
        <w:rPr>
          <w:rStyle w:val="Voetnootmarkering"/>
          <w:sz w:val="13"/>
          <w:szCs w:val="13"/>
        </w:rPr>
        <w:footnoteRef/>
      </w:r>
      <w:r w:rsidRPr="007B01E0">
        <w:rPr>
          <w:sz w:val="13"/>
          <w:szCs w:val="13"/>
        </w:rPr>
        <w:t xml:space="preserve"> Punt 24 van de considerans van EU-richtlijn minimumniveau van belastingheffing. Zie verder ook de verklaringen van de </w:t>
      </w:r>
      <w:proofErr w:type="spellStart"/>
      <w:r w:rsidRPr="007B01E0">
        <w:rPr>
          <w:sz w:val="13"/>
          <w:szCs w:val="13"/>
        </w:rPr>
        <w:t>Ecofin</w:t>
      </w:r>
      <w:proofErr w:type="spellEnd"/>
      <w:r w:rsidRPr="007B01E0">
        <w:rPr>
          <w:sz w:val="13"/>
          <w:szCs w:val="13"/>
        </w:rPr>
        <w:t xml:space="preserve"> Raad en de EC, die zijn besproken tijdens de </w:t>
      </w:r>
      <w:proofErr w:type="spellStart"/>
      <w:r w:rsidRPr="007B01E0">
        <w:rPr>
          <w:sz w:val="13"/>
          <w:szCs w:val="13"/>
        </w:rPr>
        <w:t>Ecofinraad</w:t>
      </w:r>
      <w:proofErr w:type="spellEnd"/>
      <w:r w:rsidRPr="007B01E0">
        <w:rPr>
          <w:sz w:val="13"/>
          <w:szCs w:val="13"/>
        </w:rPr>
        <w:t xml:space="preserve"> van 9 november 2023: https://www.consilium.europa.eu/media/67850/st14732-re01-en23.pdf.</w:t>
      </w:r>
      <w:r w:rsidRPr="00CB2A93">
        <w:t xml:space="preserve">  </w:t>
      </w:r>
    </w:p>
  </w:footnote>
  <w:footnote w:id="16">
    <w:p w14:paraId="38DA2773" w14:textId="2C370808" w:rsidR="00A46C51" w:rsidRPr="00EF448D" w:rsidRDefault="00A46C51" w:rsidP="00A46C51">
      <w:pPr>
        <w:pStyle w:val="Voetnoottekst"/>
        <w:rPr>
          <w:sz w:val="16"/>
          <w:szCs w:val="16"/>
        </w:rPr>
      </w:pPr>
      <w:r w:rsidRPr="00A46C51">
        <w:rPr>
          <w:sz w:val="13"/>
          <w:szCs w:val="13"/>
          <w:vertAlign w:val="superscript"/>
        </w:rPr>
        <w:footnoteRef/>
      </w:r>
      <w:r w:rsidRPr="00A46C51">
        <w:rPr>
          <w:sz w:val="13"/>
          <w:szCs w:val="13"/>
          <w:vertAlign w:val="superscript"/>
        </w:rPr>
        <w:t xml:space="preserve"> </w:t>
      </w:r>
      <w:r w:rsidRPr="00A46C51">
        <w:rPr>
          <w:sz w:val="13"/>
          <w:szCs w:val="13"/>
        </w:rPr>
        <w:t>Zie eveneens: Kamerstukken II, 2024/25, 36609, nr.3, p. 5.</w:t>
      </w:r>
    </w:p>
  </w:footnote>
  <w:footnote w:id="17">
    <w:p w14:paraId="1F2F2E7A" w14:textId="77777777" w:rsidR="00E0029B" w:rsidRPr="00AF52A0" w:rsidRDefault="00E0029B" w:rsidP="00E0029B">
      <w:pPr>
        <w:pStyle w:val="Voetnoottekst"/>
        <w:rPr>
          <w:sz w:val="13"/>
          <w:szCs w:val="13"/>
          <w:lang w:val="en-US"/>
        </w:rPr>
      </w:pPr>
      <w:r w:rsidRPr="00AF52A0">
        <w:rPr>
          <w:rStyle w:val="Voetnootmarkering"/>
          <w:sz w:val="13"/>
          <w:szCs w:val="13"/>
        </w:rPr>
        <w:footnoteRef/>
      </w:r>
      <w:r w:rsidRPr="00AF52A0">
        <w:rPr>
          <w:sz w:val="13"/>
          <w:szCs w:val="13"/>
          <w:lang w:val="en-US"/>
        </w:rPr>
        <w:t xml:space="preserve"> OECD, Qualified Status under the Global Minimum Tax – Questions and Answers, Last updated: January 2025. </w:t>
      </w:r>
    </w:p>
  </w:footnote>
  <w:footnote w:id="18">
    <w:p w14:paraId="7016AE92" w14:textId="032AC636" w:rsidR="00E0029B" w:rsidRPr="00AF52A0" w:rsidRDefault="00E0029B" w:rsidP="00E0029B">
      <w:pPr>
        <w:pStyle w:val="Voetnoottekst"/>
        <w:rPr>
          <w:sz w:val="13"/>
          <w:szCs w:val="13"/>
          <w:lang w:val="en-US"/>
        </w:rPr>
      </w:pPr>
      <w:r w:rsidRPr="00AF52A0">
        <w:rPr>
          <w:rStyle w:val="Voetnootmarkering"/>
          <w:sz w:val="13"/>
          <w:szCs w:val="13"/>
        </w:rPr>
        <w:footnoteRef/>
      </w:r>
      <w:r w:rsidRPr="00AF52A0">
        <w:rPr>
          <w:sz w:val="13"/>
          <w:szCs w:val="13"/>
          <w:lang w:val="en-US"/>
        </w:rPr>
        <w:t xml:space="preserve"> OECD</w:t>
      </w:r>
      <w:r w:rsidR="00F36C97" w:rsidRPr="00AF52A0">
        <w:rPr>
          <w:sz w:val="13"/>
          <w:szCs w:val="13"/>
          <w:lang w:val="en-US"/>
        </w:rPr>
        <w:t xml:space="preserve">, </w:t>
      </w:r>
      <w:r w:rsidRPr="00AF52A0">
        <w:rPr>
          <w:i/>
          <w:iCs/>
          <w:sz w:val="13"/>
          <w:szCs w:val="13"/>
          <w:lang w:val="en-US"/>
        </w:rPr>
        <w:t>Central Record of Legislation with Transitional Qualified Status</w:t>
      </w:r>
      <w:r w:rsidRPr="00AF52A0">
        <w:rPr>
          <w:sz w:val="13"/>
          <w:szCs w:val="13"/>
          <w:lang w:val="en-US"/>
        </w:rPr>
        <w:t xml:space="preserve">, </w:t>
      </w:r>
      <w:proofErr w:type="spellStart"/>
      <w:r w:rsidR="00F36C97" w:rsidRPr="00AF52A0">
        <w:rPr>
          <w:sz w:val="13"/>
          <w:szCs w:val="13"/>
          <w:lang w:val="en-US"/>
        </w:rPr>
        <w:t>zie</w:t>
      </w:r>
      <w:proofErr w:type="spellEnd"/>
      <w:r w:rsidR="00F36C97" w:rsidRPr="00AF52A0">
        <w:rPr>
          <w:sz w:val="13"/>
          <w:szCs w:val="13"/>
          <w:lang w:val="en-US"/>
        </w:rPr>
        <w:t xml:space="preserve"> https://www.oecd.org/en/topics/sub-issues/global-minimum-tax/central-record-of-legislation-with-transitional-qualified-status.html</w:t>
      </w:r>
      <w:r w:rsidRPr="00AF52A0">
        <w:rPr>
          <w:sz w:val="13"/>
          <w:szCs w:val="13"/>
          <w:lang w:val="en-US"/>
        </w:rPr>
        <w:t xml:space="preserve">. </w:t>
      </w:r>
    </w:p>
  </w:footnote>
  <w:footnote w:id="19">
    <w:p w14:paraId="6CE4F35D" w14:textId="148612B4" w:rsidR="006D5785" w:rsidRPr="0047463E" w:rsidRDefault="006D5785">
      <w:pPr>
        <w:pStyle w:val="Voetnoottekst"/>
        <w:rPr>
          <w:vertAlign w:val="superscript"/>
        </w:rPr>
      </w:pPr>
      <w:r w:rsidRPr="007A5475">
        <w:rPr>
          <w:sz w:val="13"/>
          <w:szCs w:val="13"/>
          <w:vertAlign w:val="superscript"/>
        </w:rPr>
        <w:footnoteRef/>
      </w:r>
      <w:r w:rsidRPr="007A5475">
        <w:rPr>
          <w:sz w:val="13"/>
          <w:szCs w:val="13"/>
          <w:vertAlign w:val="superscript"/>
        </w:rPr>
        <w:t xml:space="preserve"> </w:t>
      </w:r>
      <w:r w:rsidR="002A0816" w:rsidRPr="007A5475">
        <w:rPr>
          <w:sz w:val="13"/>
          <w:szCs w:val="13"/>
        </w:rPr>
        <w:t xml:space="preserve">Kamerstukken II 1996/97, 25212, nr. 2, en </w:t>
      </w:r>
      <w:r w:rsidR="0074383F">
        <w:rPr>
          <w:sz w:val="13"/>
          <w:szCs w:val="13"/>
        </w:rPr>
        <w:t xml:space="preserve">Kamerstukken </w:t>
      </w:r>
      <w:r w:rsidR="002A0816" w:rsidRPr="007A5475">
        <w:rPr>
          <w:sz w:val="13"/>
          <w:szCs w:val="13"/>
        </w:rPr>
        <w:t>I 2009/10, 25212, A.</w:t>
      </w:r>
    </w:p>
  </w:footnote>
  <w:footnote w:id="20">
    <w:p w14:paraId="041FFFD5" w14:textId="77777777" w:rsidR="0098099C" w:rsidRPr="00AF52A0" w:rsidRDefault="0098099C" w:rsidP="0098099C">
      <w:pPr>
        <w:pStyle w:val="Voetnoottekst"/>
        <w:rPr>
          <w:sz w:val="13"/>
          <w:szCs w:val="13"/>
        </w:rPr>
      </w:pPr>
      <w:r w:rsidRPr="00AF52A0">
        <w:rPr>
          <w:rStyle w:val="Voetnootmarkering"/>
          <w:sz w:val="13"/>
          <w:szCs w:val="13"/>
        </w:rPr>
        <w:footnoteRef/>
      </w:r>
      <w:r w:rsidRPr="00AF52A0">
        <w:rPr>
          <w:sz w:val="13"/>
          <w:szCs w:val="13"/>
        </w:rPr>
        <w:t xml:space="preserve"> Zie </w:t>
      </w:r>
      <w:hyperlink r:id="rId1" w:history="1">
        <w:r w:rsidRPr="00AF52A0">
          <w:rPr>
            <w:rStyle w:val="Hyperlink"/>
            <w:sz w:val="13"/>
            <w:szCs w:val="13"/>
          </w:rPr>
          <w:t>https://www.whitehouse.gov/presidential-actions/2025/01/the-organization-for-economic-co-operation-and-development-oecd-global-tax-deal-global-tax-deal/</w:t>
        </w:r>
      </w:hyperlink>
      <w:r w:rsidRPr="00AF52A0">
        <w:rPr>
          <w:sz w:val="13"/>
          <w:szCs w:val="13"/>
        </w:rPr>
        <w:t xml:space="preserve"> waarin wordt verwezen naar de ‘OECD Global Tax Deal’. De wereldwijde minimumbelasting is daar onderdeel van.</w:t>
      </w:r>
    </w:p>
  </w:footnote>
  <w:footnote w:id="21">
    <w:p w14:paraId="5AA64D8B" w14:textId="77777777" w:rsidR="0098099C" w:rsidRPr="00AF52A0" w:rsidRDefault="0098099C" w:rsidP="0098099C">
      <w:pPr>
        <w:pStyle w:val="Voetnoottekst"/>
        <w:rPr>
          <w:sz w:val="13"/>
          <w:szCs w:val="13"/>
        </w:rPr>
      </w:pPr>
      <w:r w:rsidRPr="00AF52A0">
        <w:rPr>
          <w:rStyle w:val="Voetnootmarkering"/>
          <w:sz w:val="13"/>
          <w:szCs w:val="13"/>
        </w:rPr>
        <w:footnoteRef/>
      </w:r>
      <w:r w:rsidRPr="00AF52A0">
        <w:rPr>
          <w:sz w:val="13"/>
          <w:szCs w:val="13"/>
        </w:rPr>
        <w:t xml:space="preserve"> Zie </w:t>
      </w:r>
      <w:hyperlink r:id="rId2" w:history="1">
        <w:r w:rsidRPr="00AF52A0">
          <w:rPr>
            <w:rStyle w:val="Hyperlink"/>
            <w:sz w:val="13"/>
            <w:szCs w:val="13"/>
          </w:rPr>
          <w:t>https://www.canada.ca/en/department-finance/news/2025/06/g7-statement-on-global-minimum-taxes.html</w:t>
        </w:r>
      </w:hyperlink>
      <w:r w:rsidRPr="00AF52A0">
        <w:rPr>
          <w:sz w:val="13"/>
          <w:szCs w:val="13"/>
        </w:rPr>
        <w:t>. De G7 bestaat uit Canada (tevens huidige voorzitter van de G7), de VS, het VK, Duitsland, Frankrijk, Italië en Japan.</w:t>
      </w:r>
    </w:p>
  </w:footnote>
  <w:footnote w:id="22">
    <w:p w14:paraId="38F9AC0E" w14:textId="77777777" w:rsidR="0098099C" w:rsidRPr="00AF52A0" w:rsidRDefault="0098099C" w:rsidP="0098099C">
      <w:pPr>
        <w:pStyle w:val="Voetnoottekst"/>
        <w:rPr>
          <w:sz w:val="13"/>
          <w:szCs w:val="13"/>
          <w:lang w:val="en-US"/>
        </w:rPr>
      </w:pPr>
      <w:r w:rsidRPr="00AF52A0">
        <w:rPr>
          <w:rStyle w:val="Voetnootmarkering"/>
          <w:sz w:val="13"/>
          <w:szCs w:val="13"/>
        </w:rPr>
        <w:footnoteRef/>
      </w:r>
      <w:r w:rsidRPr="00AF52A0">
        <w:rPr>
          <w:sz w:val="13"/>
          <w:szCs w:val="13"/>
          <w:lang w:val="en-US"/>
        </w:rPr>
        <w:t xml:space="preserve"> OECD, </w:t>
      </w:r>
      <w:r w:rsidRPr="00AF52A0">
        <w:rPr>
          <w:i/>
          <w:iCs/>
          <w:sz w:val="13"/>
          <w:szCs w:val="13"/>
          <w:lang w:val="en-US"/>
        </w:rPr>
        <w:t>Central Record of Legislation with Transitional Qualified Status</w:t>
      </w:r>
      <w:r w:rsidRPr="00AF52A0">
        <w:rPr>
          <w:sz w:val="13"/>
          <w:szCs w:val="13"/>
          <w:lang w:val="en-US"/>
        </w:rPr>
        <w:t xml:space="preserve">, </w:t>
      </w:r>
      <w:proofErr w:type="spellStart"/>
      <w:r w:rsidRPr="00AF52A0">
        <w:rPr>
          <w:sz w:val="13"/>
          <w:szCs w:val="13"/>
          <w:lang w:val="en-US"/>
        </w:rPr>
        <w:t>zie</w:t>
      </w:r>
      <w:proofErr w:type="spellEnd"/>
      <w:r w:rsidRPr="00AF52A0">
        <w:rPr>
          <w:sz w:val="13"/>
          <w:szCs w:val="13"/>
          <w:lang w:val="en-US"/>
        </w:rPr>
        <w:t xml:space="preserve"> </w:t>
      </w:r>
      <w:hyperlink r:id="rId3" w:history="1">
        <w:r w:rsidRPr="00AF52A0">
          <w:rPr>
            <w:rStyle w:val="Hyperlink"/>
            <w:sz w:val="13"/>
            <w:szCs w:val="13"/>
            <w:lang w:val="en-US"/>
          </w:rPr>
          <w:t>https://www.oecd.org/en/topics/sub-issues/global-minimum-tax/central-record-of-legislation-with-transitional-qualified-status.html</w:t>
        </w:r>
      </w:hyperlink>
      <w:r w:rsidRPr="00AF52A0">
        <w:rPr>
          <w:sz w:val="13"/>
          <w:szCs w:val="13"/>
          <w:lang w:val="en-US"/>
        </w:rPr>
        <w:t xml:space="preserve">. </w:t>
      </w:r>
    </w:p>
  </w:footnote>
  <w:footnote w:id="23">
    <w:p w14:paraId="67A0B5CD" w14:textId="5913243F" w:rsidR="000F3C8F" w:rsidRPr="00AF52A0" w:rsidRDefault="000F3C8F">
      <w:pPr>
        <w:pStyle w:val="Voetnoottekst"/>
        <w:rPr>
          <w:lang w:val="en-US"/>
        </w:rPr>
      </w:pPr>
      <w:r w:rsidRPr="00AF52A0">
        <w:rPr>
          <w:rStyle w:val="Voetnootmarkering"/>
          <w:sz w:val="13"/>
          <w:szCs w:val="13"/>
        </w:rPr>
        <w:footnoteRef/>
      </w:r>
      <w:r w:rsidR="00E634CF" w:rsidRPr="00E634CF">
        <w:rPr>
          <w:sz w:val="13"/>
          <w:szCs w:val="13"/>
          <w:lang w:val="en-US"/>
        </w:rPr>
        <w:t>https://www.internetconsultatie.nl/eindejaarsbesluit2025/b1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4755" w:hanging="360"/>
      </w:pPr>
      <w:rPr>
        <w:rFonts w:hint="default"/>
      </w:rPr>
    </w:lvl>
    <w:lvl w:ilvl="1">
      <w:start w:val="1"/>
      <w:numFmt w:val="decimal"/>
      <w:pStyle w:val="Kop2"/>
      <w:suff w:val="space"/>
      <w:lvlText w:val="%1.%2."/>
      <w:lvlJc w:val="left"/>
      <w:pPr>
        <w:ind w:left="-623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431" w:hanging="504"/>
      </w:pPr>
      <w:rPr>
        <w:rFonts w:hint="default"/>
      </w:rPr>
    </w:lvl>
    <w:lvl w:ilvl="3">
      <w:start w:val="1"/>
      <w:numFmt w:val="decimal"/>
      <w:lvlText w:val="%1.%2.%3.%4."/>
      <w:lvlJc w:val="left"/>
      <w:pPr>
        <w:ind w:left="-5927" w:hanging="648"/>
      </w:pPr>
      <w:rPr>
        <w:rFonts w:hint="default"/>
      </w:rPr>
    </w:lvl>
    <w:lvl w:ilvl="4">
      <w:start w:val="1"/>
      <w:numFmt w:val="decimal"/>
      <w:lvlText w:val="%1.%2.%3.%4.%5."/>
      <w:lvlJc w:val="left"/>
      <w:pPr>
        <w:ind w:left="-5423" w:hanging="792"/>
      </w:pPr>
      <w:rPr>
        <w:rFonts w:hint="default"/>
      </w:rPr>
    </w:lvl>
    <w:lvl w:ilvl="5">
      <w:start w:val="1"/>
      <w:numFmt w:val="decimal"/>
      <w:lvlText w:val="%1.%2.%3.%4.%5.%6."/>
      <w:lvlJc w:val="left"/>
      <w:pPr>
        <w:ind w:left="-4919" w:hanging="936"/>
      </w:pPr>
      <w:rPr>
        <w:rFonts w:hint="default"/>
      </w:rPr>
    </w:lvl>
    <w:lvl w:ilvl="6">
      <w:start w:val="1"/>
      <w:numFmt w:val="decimal"/>
      <w:lvlText w:val="%1.%2.%3.%4.%5.%6.%7."/>
      <w:lvlJc w:val="left"/>
      <w:pPr>
        <w:ind w:left="-4415" w:hanging="1080"/>
      </w:pPr>
      <w:rPr>
        <w:rFonts w:hint="default"/>
      </w:rPr>
    </w:lvl>
    <w:lvl w:ilvl="7">
      <w:start w:val="1"/>
      <w:numFmt w:val="decimal"/>
      <w:lvlText w:val="%1.%2.%3.%4.%5.%6.%7.%8."/>
      <w:lvlJc w:val="left"/>
      <w:pPr>
        <w:ind w:left="-3911" w:hanging="1224"/>
      </w:pPr>
      <w:rPr>
        <w:rFonts w:hint="default"/>
      </w:rPr>
    </w:lvl>
    <w:lvl w:ilvl="8">
      <w:start w:val="1"/>
      <w:numFmt w:val="decimal"/>
      <w:lvlText w:val="%1.%2.%3.%4.%5.%6.%7.%8.%9."/>
      <w:lvlJc w:val="left"/>
      <w:pPr>
        <w:ind w:left="-3335" w:hanging="1440"/>
      </w:pPr>
      <w:rPr>
        <w:rFonts w:hint="default"/>
      </w:rPr>
    </w:lvl>
  </w:abstractNum>
  <w:abstractNum w:abstractNumId="1" w15:restartNumberingAfterBreak="0">
    <w:nsid w:val="3BC064D4"/>
    <w:multiLevelType w:val="hybridMultilevel"/>
    <w:tmpl w:val="EF228E3E"/>
    <w:lvl w:ilvl="0" w:tplc="60C4C898">
      <w:start w:val="1"/>
      <w:numFmt w:val="bullet"/>
      <w:lvlText w:val=""/>
      <w:lvlJc w:val="left"/>
      <w:pPr>
        <w:ind w:left="1080" w:hanging="360"/>
      </w:pPr>
      <w:rPr>
        <w:rFonts w:ascii="Symbol" w:hAnsi="Symbol"/>
      </w:rPr>
    </w:lvl>
    <w:lvl w:ilvl="1" w:tplc="1BBE905E">
      <w:start w:val="1"/>
      <w:numFmt w:val="bullet"/>
      <w:lvlText w:val=""/>
      <w:lvlJc w:val="left"/>
      <w:pPr>
        <w:ind w:left="1080" w:hanging="360"/>
      </w:pPr>
      <w:rPr>
        <w:rFonts w:ascii="Symbol" w:hAnsi="Symbol"/>
      </w:rPr>
    </w:lvl>
    <w:lvl w:ilvl="2" w:tplc="DACE8A90">
      <w:start w:val="1"/>
      <w:numFmt w:val="bullet"/>
      <w:lvlText w:val=""/>
      <w:lvlJc w:val="left"/>
      <w:pPr>
        <w:ind w:left="1080" w:hanging="360"/>
      </w:pPr>
      <w:rPr>
        <w:rFonts w:ascii="Symbol" w:hAnsi="Symbol"/>
      </w:rPr>
    </w:lvl>
    <w:lvl w:ilvl="3" w:tplc="3CBC8BB0">
      <w:start w:val="1"/>
      <w:numFmt w:val="bullet"/>
      <w:lvlText w:val=""/>
      <w:lvlJc w:val="left"/>
      <w:pPr>
        <w:ind w:left="1080" w:hanging="360"/>
      </w:pPr>
      <w:rPr>
        <w:rFonts w:ascii="Symbol" w:hAnsi="Symbol"/>
      </w:rPr>
    </w:lvl>
    <w:lvl w:ilvl="4" w:tplc="6614811A">
      <w:start w:val="1"/>
      <w:numFmt w:val="bullet"/>
      <w:lvlText w:val=""/>
      <w:lvlJc w:val="left"/>
      <w:pPr>
        <w:ind w:left="1080" w:hanging="360"/>
      </w:pPr>
      <w:rPr>
        <w:rFonts w:ascii="Symbol" w:hAnsi="Symbol"/>
      </w:rPr>
    </w:lvl>
    <w:lvl w:ilvl="5" w:tplc="30242B92">
      <w:start w:val="1"/>
      <w:numFmt w:val="bullet"/>
      <w:lvlText w:val=""/>
      <w:lvlJc w:val="left"/>
      <w:pPr>
        <w:ind w:left="1080" w:hanging="360"/>
      </w:pPr>
      <w:rPr>
        <w:rFonts w:ascii="Symbol" w:hAnsi="Symbol"/>
      </w:rPr>
    </w:lvl>
    <w:lvl w:ilvl="6" w:tplc="EBF47658">
      <w:start w:val="1"/>
      <w:numFmt w:val="bullet"/>
      <w:lvlText w:val=""/>
      <w:lvlJc w:val="left"/>
      <w:pPr>
        <w:ind w:left="1080" w:hanging="360"/>
      </w:pPr>
      <w:rPr>
        <w:rFonts w:ascii="Symbol" w:hAnsi="Symbol"/>
      </w:rPr>
    </w:lvl>
    <w:lvl w:ilvl="7" w:tplc="88A4995E">
      <w:start w:val="1"/>
      <w:numFmt w:val="bullet"/>
      <w:lvlText w:val=""/>
      <w:lvlJc w:val="left"/>
      <w:pPr>
        <w:ind w:left="1080" w:hanging="360"/>
      </w:pPr>
      <w:rPr>
        <w:rFonts w:ascii="Symbol" w:hAnsi="Symbol"/>
      </w:rPr>
    </w:lvl>
    <w:lvl w:ilvl="8" w:tplc="18700A24">
      <w:start w:val="1"/>
      <w:numFmt w:val="bullet"/>
      <w:lvlText w:val=""/>
      <w:lvlJc w:val="left"/>
      <w:pPr>
        <w:ind w:left="1080" w:hanging="360"/>
      </w:pPr>
      <w:rPr>
        <w:rFonts w:ascii="Symbol" w:hAnsi="Symbol"/>
      </w:rPr>
    </w:lvl>
  </w:abstractNum>
  <w:abstractNum w:abstractNumId="2" w15:restartNumberingAfterBreak="0">
    <w:nsid w:val="7F7A3AAC"/>
    <w:multiLevelType w:val="hybridMultilevel"/>
    <w:tmpl w:val="AB0A385C"/>
    <w:lvl w:ilvl="0" w:tplc="DBF609D0">
      <w:start w:val="169"/>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747914177">
    <w:abstractNumId w:val="0"/>
  </w:num>
  <w:num w:numId="2" w16cid:durableId="1402675013">
    <w:abstractNumId w:val="0"/>
  </w:num>
  <w:num w:numId="3" w16cid:durableId="330332704">
    <w:abstractNumId w:val="0"/>
  </w:num>
  <w:num w:numId="4" w16cid:durableId="250086452">
    <w:abstractNumId w:val="2"/>
  </w:num>
  <w:num w:numId="5" w16cid:durableId="871575088">
    <w:abstractNumId w:val="1"/>
  </w:num>
  <w:num w:numId="6" w16cid:durableId="1205818">
    <w:abstractNumId w:val="0"/>
  </w:num>
  <w:num w:numId="7" w16cid:durableId="347173069">
    <w:abstractNumId w:val="0"/>
  </w:num>
  <w:num w:numId="8" w16cid:durableId="389422575">
    <w:abstractNumId w:val="0"/>
  </w:num>
  <w:num w:numId="9" w16cid:durableId="1597590737">
    <w:abstractNumId w:val="0"/>
  </w:num>
  <w:num w:numId="10" w16cid:durableId="1065568786">
    <w:abstractNumId w:val="0"/>
  </w:num>
  <w:num w:numId="11" w16cid:durableId="9290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278F2"/>
    <w:rsid w:val="00030B48"/>
    <w:rsid w:val="000330D3"/>
    <w:rsid w:val="00041765"/>
    <w:rsid w:val="000549C9"/>
    <w:rsid w:val="00057F62"/>
    <w:rsid w:val="000670E2"/>
    <w:rsid w:val="00077F4B"/>
    <w:rsid w:val="00080159"/>
    <w:rsid w:val="00095A1D"/>
    <w:rsid w:val="000A725F"/>
    <w:rsid w:val="000A7E28"/>
    <w:rsid w:val="000B3BF6"/>
    <w:rsid w:val="000C7BDB"/>
    <w:rsid w:val="000D7356"/>
    <w:rsid w:val="000E40F9"/>
    <w:rsid w:val="000F3C8F"/>
    <w:rsid w:val="000F7AC3"/>
    <w:rsid w:val="001122B4"/>
    <w:rsid w:val="00113C89"/>
    <w:rsid w:val="001244E4"/>
    <w:rsid w:val="00125EC4"/>
    <w:rsid w:val="00147FEC"/>
    <w:rsid w:val="00160D27"/>
    <w:rsid w:val="0016710E"/>
    <w:rsid w:val="00191A91"/>
    <w:rsid w:val="00195583"/>
    <w:rsid w:val="00196137"/>
    <w:rsid w:val="001B4781"/>
    <w:rsid w:val="001D0B67"/>
    <w:rsid w:val="001D0E3C"/>
    <w:rsid w:val="001D7204"/>
    <w:rsid w:val="001D7D74"/>
    <w:rsid w:val="00201142"/>
    <w:rsid w:val="00230820"/>
    <w:rsid w:val="00267BD3"/>
    <w:rsid w:val="00280894"/>
    <w:rsid w:val="00281656"/>
    <w:rsid w:val="002A0816"/>
    <w:rsid w:val="002A45CF"/>
    <w:rsid w:val="002B04A2"/>
    <w:rsid w:val="002F20CB"/>
    <w:rsid w:val="00304EAA"/>
    <w:rsid w:val="00325DCD"/>
    <w:rsid w:val="00340662"/>
    <w:rsid w:val="00373756"/>
    <w:rsid w:val="003838D1"/>
    <w:rsid w:val="003D1924"/>
    <w:rsid w:val="003E1301"/>
    <w:rsid w:val="003E37E0"/>
    <w:rsid w:val="003F47F8"/>
    <w:rsid w:val="004017E1"/>
    <w:rsid w:val="00410F88"/>
    <w:rsid w:val="004218D9"/>
    <w:rsid w:val="00445FC4"/>
    <w:rsid w:val="004653C7"/>
    <w:rsid w:val="004730E3"/>
    <w:rsid w:val="0047463E"/>
    <w:rsid w:val="004A7027"/>
    <w:rsid w:val="004E47AE"/>
    <w:rsid w:val="00502611"/>
    <w:rsid w:val="005060B2"/>
    <w:rsid w:val="00530B63"/>
    <w:rsid w:val="0053772D"/>
    <w:rsid w:val="00541F02"/>
    <w:rsid w:val="00546BF1"/>
    <w:rsid w:val="00565D61"/>
    <w:rsid w:val="00595588"/>
    <w:rsid w:val="005A607D"/>
    <w:rsid w:val="005B331D"/>
    <w:rsid w:val="005C0EA6"/>
    <w:rsid w:val="005C3C71"/>
    <w:rsid w:val="00655B10"/>
    <w:rsid w:val="00661F20"/>
    <w:rsid w:val="00676B18"/>
    <w:rsid w:val="00676CC5"/>
    <w:rsid w:val="00682F55"/>
    <w:rsid w:val="00683420"/>
    <w:rsid w:val="006864F1"/>
    <w:rsid w:val="00690404"/>
    <w:rsid w:val="006A17D0"/>
    <w:rsid w:val="006C1A41"/>
    <w:rsid w:val="006C1C5E"/>
    <w:rsid w:val="006C22F2"/>
    <w:rsid w:val="006D5785"/>
    <w:rsid w:val="006D61B9"/>
    <w:rsid w:val="006D7000"/>
    <w:rsid w:val="0070032F"/>
    <w:rsid w:val="00722167"/>
    <w:rsid w:val="00737416"/>
    <w:rsid w:val="007417C5"/>
    <w:rsid w:val="0074383F"/>
    <w:rsid w:val="00744059"/>
    <w:rsid w:val="007527E5"/>
    <w:rsid w:val="00781E7D"/>
    <w:rsid w:val="0078502B"/>
    <w:rsid w:val="00785DE4"/>
    <w:rsid w:val="00790799"/>
    <w:rsid w:val="007A5475"/>
    <w:rsid w:val="007A5A2C"/>
    <w:rsid w:val="007B01E0"/>
    <w:rsid w:val="007C3D0B"/>
    <w:rsid w:val="007C77BC"/>
    <w:rsid w:val="007D3FEC"/>
    <w:rsid w:val="007E1DDD"/>
    <w:rsid w:val="007F2340"/>
    <w:rsid w:val="008157C6"/>
    <w:rsid w:val="00833B98"/>
    <w:rsid w:val="00843396"/>
    <w:rsid w:val="00864B3D"/>
    <w:rsid w:val="0086729E"/>
    <w:rsid w:val="00871ED3"/>
    <w:rsid w:val="00877815"/>
    <w:rsid w:val="00882715"/>
    <w:rsid w:val="0088723B"/>
    <w:rsid w:val="008874C0"/>
    <w:rsid w:val="008922F5"/>
    <w:rsid w:val="0089726B"/>
    <w:rsid w:val="008C644E"/>
    <w:rsid w:val="008D18B2"/>
    <w:rsid w:val="008D3831"/>
    <w:rsid w:val="008F1048"/>
    <w:rsid w:val="009138AB"/>
    <w:rsid w:val="0091486A"/>
    <w:rsid w:val="00951581"/>
    <w:rsid w:val="00964695"/>
    <w:rsid w:val="00973498"/>
    <w:rsid w:val="009761C2"/>
    <w:rsid w:val="0098099C"/>
    <w:rsid w:val="00990ED3"/>
    <w:rsid w:val="009C223C"/>
    <w:rsid w:val="009C3E10"/>
    <w:rsid w:val="009D4D36"/>
    <w:rsid w:val="009D74CF"/>
    <w:rsid w:val="009E42EA"/>
    <w:rsid w:val="009E69FD"/>
    <w:rsid w:val="009F1783"/>
    <w:rsid w:val="00A03756"/>
    <w:rsid w:val="00A047C2"/>
    <w:rsid w:val="00A248F3"/>
    <w:rsid w:val="00A46C51"/>
    <w:rsid w:val="00A5242B"/>
    <w:rsid w:val="00A55867"/>
    <w:rsid w:val="00A73E45"/>
    <w:rsid w:val="00AB289C"/>
    <w:rsid w:val="00AD2F7C"/>
    <w:rsid w:val="00AD5193"/>
    <w:rsid w:val="00AF52A0"/>
    <w:rsid w:val="00B03626"/>
    <w:rsid w:val="00B33808"/>
    <w:rsid w:val="00B3414E"/>
    <w:rsid w:val="00B45AD7"/>
    <w:rsid w:val="00B50EB6"/>
    <w:rsid w:val="00B55924"/>
    <w:rsid w:val="00B62DB5"/>
    <w:rsid w:val="00B818AA"/>
    <w:rsid w:val="00B9119A"/>
    <w:rsid w:val="00B94700"/>
    <w:rsid w:val="00B96DA2"/>
    <w:rsid w:val="00B97E62"/>
    <w:rsid w:val="00BA388C"/>
    <w:rsid w:val="00BC627F"/>
    <w:rsid w:val="00BD73A8"/>
    <w:rsid w:val="00BE2453"/>
    <w:rsid w:val="00C10397"/>
    <w:rsid w:val="00C211A4"/>
    <w:rsid w:val="00C52E8A"/>
    <w:rsid w:val="00C62088"/>
    <w:rsid w:val="00C65DED"/>
    <w:rsid w:val="00C751B8"/>
    <w:rsid w:val="00C91270"/>
    <w:rsid w:val="00CA4C41"/>
    <w:rsid w:val="00CB2989"/>
    <w:rsid w:val="00CB414A"/>
    <w:rsid w:val="00CC14DA"/>
    <w:rsid w:val="00D14E61"/>
    <w:rsid w:val="00D208AC"/>
    <w:rsid w:val="00D22B98"/>
    <w:rsid w:val="00D349E1"/>
    <w:rsid w:val="00D43AF5"/>
    <w:rsid w:val="00D46DD9"/>
    <w:rsid w:val="00D60BC8"/>
    <w:rsid w:val="00D67CF8"/>
    <w:rsid w:val="00D84757"/>
    <w:rsid w:val="00D86D20"/>
    <w:rsid w:val="00DA567E"/>
    <w:rsid w:val="00DB6262"/>
    <w:rsid w:val="00DD74F1"/>
    <w:rsid w:val="00DE6D57"/>
    <w:rsid w:val="00E0029B"/>
    <w:rsid w:val="00E0134F"/>
    <w:rsid w:val="00E02AF4"/>
    <w:rsid w:val="00E130E1"/>
    <w:rsid w:val="00E203EF"/>
    <w:rsid w:val="00E27147"/>
    <w:rsid w:val="00E31A49"/>
    <w:rsid w:val="00E44EDB"/>
    <w:rsid w:val="00E525F1"/>
    <w:rsid w:val="00E57BA7"/>
    <w:rsid w:val="00E634CF"/>
    <w:rsid w:val="00E65128"/>
    <w:rsid w:val="00E80B54"/>
    <w:rsid w:val="00E93F12"/>
    <w:rsid w:val="00F06C98"/>
    <w:rsid w:val="00F13278"/>
    <w:rsid w:val="00F1435A"/>
    <w:rsid w:val="00F21428"/>
    <w:rsid w:val="00F36C97"/>
    <w:rsid w:val="00F65610"/>
    <w:rsid w:val="00F71F96"/>
    <w:rsid w:val="00F813D4"/>
    <w:rsid w:val="00FB1758"/>
    <w:rsid w:val="00FC4924"/>
    <w:rsid w:val="00FD14A3"/>
    <w:rsid w:val="00FD1EDB"/>
    <w:rsid w:val="00FD2BAF"/>
    <w:rsid w:val="00FF6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nhideWhenUsed/>
    <w:qFormat/>
    <w:rsid w:val="007B01E0"/>
    <w:pPr>
      <w:spacing w:line="240" w:lineRule="auto"/>
    </w:pPr>
    <w:rPr>
      <w:sz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B01E0"/>
    <w:rPr>
      <w:rFonts w:ascii="Verdana" w:eastAsia="Times New Roman" w:hAnsi="Verdana"/>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B01E0"/>
    <w:rPr>
      <w:vertAlign w:val="superscript"/>
    </w:rPr>
  </w:style>
  <w:style w:type="character" w:styleId="Verwijzingopmerking">
    <w:name w:val="annotation reference"/>
    <w:basedOn w:val="Standaardalinea-lettertype"/>
    <w:uiPriority w:val="99"/>
    <w:semiHidden/>
    <w:unhideWhenUsed/>
    <w:rsid w:val="007B01E0"/>
    <w:rPr>
      <w:sz w:val="16"/>
      <w:szCs w:val="16"/>
    </w:rPr>
  </w:style>
  <w:style w:type="paragraph" w:styleId="Tekstopmerking">
    <w:name w:val="annotation text"/>
    <w:basedOn w:val="Standaard"/>
    <w:link w:val="TekstopmerkingChar"/>
    <w:uiPriority w:val="99"/>
    <w:unhideWhenUsed/>
    <w:rsid w:val="007B01E0"/>
    <w:pPr>
      <w:spacing w:after="160" w:line="240" w:lineRule="auto"/>
      <w:ind w:left="0"/>
    </w:pPr>
    <w:rPr>
      <w:rFonts w:eastAsiaTheme="minorHAnsi" w:cstheme="minorBidi"/>
      <w:kern w:val="2"/>
      <w:sz w:val="20"/>
      <w:lang w:val="en-US" w:eastAsia="en-US"/>
      <w14:ligatures w14:val="standardContextual"/>
    </w:rPr>
  </w:style>
  <w:style w:type="character" w:customStyle="1" w:styleId="TekstopmerkingChar">
    <w:name w:val="Tekst opmerking Char"/>
    <w:basedOn w:val="Standaardalinea-lettertype"/>
    <w:link w:val="Tekstopmerking"/>
    <w:uiPriority w:val="99"/>
    <w:rsid w:val="007B01E0"/>
    <w:rPr>
      <w:rFonts w:ascii="Verdana" w:hAnsi="Verdana" w:cstheme="minorBidi"/>
      <w:kern w:val="2"/>
      <w:lang w:val="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46C51"/>
    <w:pPr>
      <w:spacing w:after="0"/>
      <w:ind w:left="1418"/>
    </w:pPr>
    <w:rPr>
      <w:rFonts w:eastAsia="Times New Roman" w:cs="Times New Roman"/>
      <w:b/>
      <w:bCs/>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A46C51"/>
    <w:rPr>
      <w:rFonts w:ascii="Verdana" w:eastAsia="Times New Roman" w:hAnsi="Verdana" w:cstheme="minorBidi"/>
      <w:b/>
      <w:bCs/>
      <w:kern w:val="2"/>
      <w:lang w:val="en-US" w:eastAsia="nl-NL"/>
      <w14:ligatures w14:val="standardContextual"/>
    </w:rPr>
  </w:style>
  <w:style w:type="paragraph" w:styleId="Revisie">
    <w:name w:val="Revision"/>
    <w:hidden/>
    <w:uiPriority w:val="99"/>
    <w:semiHidden/>
    <w:rsid w:val="00B3414E"/>
    <w:rPr>
      <w:rFonts w:ascii="Verdana" w:eastAsia="Times New Roman" w:hAnsi="Verdana"/>
      <w:sz w:val="18"/>
      <w:lang w:eastAsia="nl-NL"/>
    </w:rPr>
  </w:style>
  <w:style w:type="paragraph" w:styleId="Koptekst">
    <w:name w:val="header"/>
    <w:basedOn w:val="Standaard"/>
    <w:link w:val="KoptekstChar"/>
    <w:uiPriority w:val="99"/>
    <w:unhideWhenUsed/>
    <w:rsid w:val="00325D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5DCD"/>
    <w:rPr>
      <w:rFonts w:ascii="Verdana" w:eastAsia="Times New Roman" w:hAnsi="Verdana"/>
      <w:sz w:val="18"/>
      <w:lang w:eastAsia="nl-NL"/>
    </w:rPr>
  </w:style>
  <w:style w:type="paragraph" w:styleId="Voettekst">
    <w:name w:val="footer"/>
    <w:basedOn w:val="Standaard"/>
    <w:link w:val="VoettekstChar"/>
    <w:uiPriority w:val="99"/>
    <w:unhideWhenUsed/>
    <w:rsid w:val="00325D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5DCD"/>
    <w:rPr>
      <w:rFonts w:ascii="Verdana" w:eastAsia="Times New Roman" w:hAnsi="Verdana"/>
      <w:sz w:val="18"/>
      <w:lang w:eastAsia="nl-NL"/>
    </w:rPr>
  </w:style>
  <w:style w:type="paragraph" w:customStyle="1" w:styleId="000">
    <w:name w:val="000"/>
    <w:aliases w:val="standaard"/>
    <w:basedOn w:val="Standaard"/>
    <w:rsid w:val="000549C9"/>
    <w:pPr>
      <w:overflowPunct w:val="0"/>
      <w:autoSpaceDE w:val="0"/>
      <w:autoSpaceDN w:val="0"/>
      <w:adjustRightInd w:val="0"/>
      <w:spacing w:line="270" w:lineRule="atLeast"/>
      <w:ind w:left="0"/>
      <w:textAlignment w:val="baseline"/>
    </w:pPr>
    <w:rPr>
      <w:rFonts w:ascii="EYInterstate Light" w:hAnsi="EYInterstate Light"/>
      <w:spacing w:val="4"/>
      <w:kern w:val="12"/>
      <w:sz w:val="19"/>
      <w:lang w:val="en-US" w:eastAsia="en-US"/>
    </w:rPr>
  </w:style>
  <w:style w:type="paragraph" w:customStyle="1" w:styleId="Char1CharCharCarCarCarCarCarCarCarCarCarCar">
    <w:name w:val="Char1 Char Char Car Car Car Car Car Car Car Car Car Car"/>
    <w:basedOn w:val="Standaard"/>
    <w:next w:val="Standaard"/>
    <w:link w:val="Voetnootmarkering"/>
    <w:uiPriority w:val="99"/>
    <w:rsid w:val="00541F02"/>
    <w:pPr>
      <w:spacing w:after="160" w:line="240" w:lineRule="exact"/>
      <w:ind w:left="0"/>
    </w:pPr>
    <w:rPr>
      <w:rFonts w:ascii="Times New Roman" w:eastAsiaTheme="minorHAnsi" w:hAnsi="Times New Roman"/>
      <w:sz w:val="20"/>
      <w:vertAlign w:val="superscript"/>
      <w:lang w:eastAsia="en-US"/>
    </w:rPr>
  </w:style>
  <w:style w:type="paragraph" w:customStyle="1" w:styleId="Default">
    <w:name w:val="Default"/>
    <w:rsid w:val="00D14E61"/>
    <w:pPr>
      <w:autoSpaceDE w:val="0"/>
      <w:autoSpaceDN w:val="0"/>
      <w:adjustRightInd w:val="0"/>
    </w:pPr>
    <w:rPr>
      <w:rFonts w:ascii="EBNPM L+ Univers" w:eastAsia="Times New Roman" w:hAnsi="EBNPM L+ Univers" w:cs="EBNPM L+ Univers"/>
      <w:color w:val="000000"/>
      <w:sz w:val="24"/>
      <w:szCs w:val="24"/>
      <w:lang w:eastAsia="nl-NL"/>
    </w:rPr>
  </w:style>
  <w:style w:type="character" w:styleId="Onopgelostemelding">
    <w:name w:val="Unresolved Mention"/>
    <w:basedOn w:val="Standaardalinea-lettertype"/>
    <w:uiPriority w:val="99"/>
    <w:semiHidden/>
    <w:unhideWhenUsed/>
    <w:rsid w:val="00AB289C"/>
    <w:rPr>
      <w:color w:val="605E5C"/>
      <w:shd w:val="clear" w:color="auto" w:fill="E1DFDD"/>
    </w:rPr>
  </w:style>
  <w:style w:type="paragraph" w:styleId="Lijstalinea">
    <w:name w:val="List Paragraph"/>
    <w:basedOn w:val="Standaard"/>
    <w:uiPriority w:val="34"/>
    <w:qFormat/>
    <w:rsid w:val="00A047C2"/>
    <w:pPr>
      <w:spacing w:after="160" w:line="259" w:lineRule="auto"/>
      <w:ind w:left="720"/>
      <w:contextualSpacing/>
    </w:pPr>
    <w:rPr>
      <w:rFonts w:eastAsiaTheme="minorHAnsi" w:cstheme="minorBidi"/>
      <w:kern w:val="2"/>
      <w:szCs w:val="22"/>
      <w:lang w:eastAsia="en-US"/>
      <w14:ligatures w14:val="standardContextual"/>
    </w:rPr>
  </w:style>
  <w:style w:type="paragraph" w:styleId="Kopvaninhoudsopgave">
    <w:name w:val="TOC Heading"/>
    <w:basedOn w:val="Kop1"/>
    <w:next w:val="Standaard"/>
    <w:uiPriority w:val="39"/>
    <w:unhideWhenUsed/>
    <w:qFormat/>
    <w:rsid w:val="00C65DED"/>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character" w:styleId="GevolgdeHyperlink">
    <w:name w:val="FollowedHyperlink"/>
    <w:basedOn w:val="Standaardalinea-lettertype"/>
    <w:uiPriority w:val="99"/>
    <w:semiHidden/>
    <w:unhideWhenUsed/>
    <w:rsid w:val="00951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7834">
      <w:bodyDiv w:val="1"/>
      <w:marLeft w:val="0"/>
      <w:marRight w:val="0"/>
      <w:marTop w:val="0"/>
      <w:marBottom w:val="0"/>
      <w:divBdr>
        <w:top w:val="none" w:sz="0" w:space="0" w:color="auto"/>
        <w:left w:val="none" w:sz="0" w:space="0" w:color="auto"/>
        <w:bottom w:val="none" w:sz="0" w:space="0" w:color="auto"/>
        <w:right w:val="none" w:sz="0" w:space="0" w:color="auto"/>
      </w:divBdr>
    </w:div>
    <w:div w:id="15473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topics/sub-issues/global-minimum-tax/central-record-of-legislation-with-transitional-qualified-status.html" TargetMode="External"/><Relationship Id="rId2" Type="http://schemas.openxmlformats.org/officeDocument/2006/relationships/hyperlink" Target="https://www.canada.ca/en/department-finance/news/2025/06/g7-statement-on-global-minimum-taxes.htm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4176</ap:Words>
  <ap:Characters>22972</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2025-10-15T18:08:00.0000000Z</lastPrinted>
  <dcterms:created xsi:type="dcterms:W3CDTF">2025-10-17T15:46:00.0000000Z</dcterms:created>
  <dcterms:modified xsi:type="dcterms:W3CDTF">2025-10-17T15:46:00.0000000Z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