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73B2" w:rsidP="006573B2" w:rsidRDefault="009E3705" w14:paraId="444B01CF" w14:textId="40E6D292">
      <w:pPr>
        <w:pStyle w:val="Kop2"/>
      </w:pPr>
      <w:r>
        <w:t xml:space="preserve">Aanpassingen inkomstenbelasting – arbeidskorting, tarief eerste schijf en aangrijpingspunt toptarief </w:t>
      </w:r>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00962708" w:rsidTr="00962708" w14:paraId="03AE775A" w14:textId="77777777">
        <w:tc>
          <w:tcPr>
            <w:tcW w:w="9017" w:type="dxa"/>
            <w:hideMark/>
          </w:tcPr>
          <w:p w:rsidR="006573B2" w:rsidRDefault="006573B2" w14:paraId="241492A8" w14:textId="77777777"/>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9E2F3" w:themeFill="accent5" w:themeFillTint="33"/>
              <w:tblLook w:val="01E0" w:firstRow="1" w:lastRow="1" w:firstColumn="1" w:lastColumn="1" w:noHBand="0" w:noVBand="0"/>
            </w:tblPr>
            <w:tblGrid>
              <w:gridCol w:w="3499"/>
              <w:gridCol w:w="4073"/>
            </w:tblGrid>
            <w:tr w:rsidR="00962708" w:rsidTr="006573B2" w14:paraId="0F9366EF"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00962708" w:rsidRDefault="00962708" w14:paraId="4B5E404C" w14:textId="77777777">
                  <w:pPr>
                    <w:pStyle w:val="TableParagraph"/>
                    <w:ind w:left="103"/>
                    <w:rPr>
                      <w:rFonts w:cstheme="minorHAnsi"/>
                      <w:b/>
                      <w:color w:val="FFFFFF"/>
                      <w:sz w:val="16"/>
                      <w:szCs w:val="16"/>
                    </w:rPr>
                  </w:pPr>
                  <w:r>
                    <w:rPr>
                      <w:rFonts w:cstheme="minorHAnsi"/>
                      <w:b/>
                      <w:color w:val="FFFFFF"/>
                      <w:sz w:val="16"/>
                      <w:szCs w:val="16"/>
                    </w:rPr>
                    <w:t>Beleidskeuzes uitgelegd</w:t>
                  </w:r>
                </w:p>
                <w:p w:rsidRPr="00962708" w:rsidR="00962708" w:rsidRDefault="00962708" w14:paraId="79D58670" w14:textId="77777777">
                  <w:pPr>
                    <w:pStyle w:val="TableParagraph"/>
                    <w:rPr>
                      <w:rFonts w:asciiTheme="minorHAnsi" w:hAnsiTheme="minorHAnsi" w:cstheme="minorHAnsi"/>
                      <w:color w:val="FFFFFF" w:themeColor="background1"/>
                      <w:sz w:val="16"/>
                      <w:szCs w:val="16"/>
                    </w:rPr>
                  </w:pPr>
                  <w:r>
                    <w:rPr>
                      <w:rFonts w:cstheme="minorHAnsi"/>
                      <w:b/>
                      <w:color w:val="FFFFFF" w:themeColor="background1"/>
                      <w:sz w:val="16"/>
                      <w:szCs w:val="16"/>
                    </w:rPr>
                    <w:t xml:space="preserve"> </w:t>
                  </w:r>
                  <w:r>
                    <w:rPr>
                      <w:rFonts w:cstheme="minorHAnsi"/>
                      <w:i/>
                      <w:color w:val="FFFFFF" w:themeColor="background1"/>
                      <w:sz w:val="16"/>
                      <w:szCs w:val="16"/>
                    </w:rPr>
                    <w:t>Onderbouwing doeltreffendheid, doelmatigheid en evaluatie (CW 3.1)</w:t>
                  </w:r>
                </w:p>
              </w:tc>
            </w:tr>
            <w:tr w:rsidR="00962708" w:rsidTr="004E3BD2" w14:paraId="5DD389A5"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00962708" w:rsidP="0003533A" w:rsidRDefault="00962708" w14:paraId="24E09633" w14:textId="77777777">
                  <w:pPr>
                    <w:pStyle w:val="TableParagraph"/>
                    <w:ind w:left="823"/>
                    <w:rPr>
                      <w:rFonts w:cstheme="minorHAnsi"/>
                      <w:b/>
                      <w:color w:val="FFFFFF"/>
                      <w:sz w:val="16"/>
                      <w:szCs w:val="16"/>
                    </w:rPr>
                  </w:pPr>
                </w:p>
                <w:p w:rsidR="00962708" w:rsidP="0003533A" w:rsidRDefault="00962708" w14:paraId="56EEDEEB" w14:textId="77777777">
                  <w:pPr>
                    <w:pStyle w:val="TableParagraph"/>
                    <w:numPr>
                      <w:ilvl w:val="0"/>
                      <w:numId w:val="5"/>
                    </w:numPr>
                    <w:rPr>
                      <w:rFonts w:cstheme="minorHAnsi"/>
                      <w:b/>
                      <w:sz w:val="16"/>
                      <w:szCs w:val="16"/>
                    </w:rPr>
                  </w:pPr>
                  <w:r>
                    <w:rPr>
                      <w:rFonts w:cstheme="minorHAnsi"/>
                      <w:b/>
                      <w:color w:val="FFFFFF"/>
                      <w:sz w:val="16"/>
                      <w:szCs w:val="16"/>
                    </w:rPr>
                    <w:t xml:space="preserve">Doel(en) </w:t>
                  </w:r>
                </w:p>
              </w:tc>
              <w:tc>
                <w:tcPr>
                  <w:tcW w:w="4073" w:type="dxa"/>
                  <w:tcBorders>
                    <w:top w:val="single" w:color="FFFFFF" w:sz="4" w:space="0"/>
                    <w:left w:val="single" w:color="FFFFFF" w:sz="4" w:space="0"/>
                    <w:bottom w:val="single" w:color="FFFFFF" w:sz="4" w:space="0"/>
                    <w:right w:val="nil"/>
                  </w:tcBorders>
                  <w:shd w:val="clear" w:color="auto" w:fill="D9E2F3" w:themeFill="accent5" w:themeFillTint="33"/>
                  <w:hideMark/>
                </w:tcPr>
                <w:p w:rsidR="00962708" w:rsidP="004E3BD2" w:rsidRDefault="00445817" w14:paraId="7C412B66" w14:textId="5907A91C">
                  <w:pPr>
                    <w:rPr>
                      <w:rFonts w:cstheme="minorHAnsi"/>
                      <w:bCs/>
                      <w:sz w:val="16"/>
                      <w:szCs w:val="16"/>
                    </w:rPr>
                  </w:pPr>
                  <w:r w:rsidRPr="00445817">
                    <w:rPr>
                      <w:rFonts w:cstheme="minorHAnsi"/>
                      <w:bCs/>
                      <w:sz w:val="16"/>
                      <w:szCs w:val="16"/>
                    </w:rPr>
                    <w:t xml:space="preserve">De doelstelling van </w:t>
                  </w:r>
                  <w:r>
                    <w:rPr>
                      <w:rFonts w:cstheme="minorHAnsi"/>
                      <w:bCs/>
                      <w:sz w:val="16"/>
                      <w:szCs w:val="16"/>
                    </w:rPr>
                    <w:t xml:space="preserve">het pakket aan maatregelen </w:t>
                  </w:r>
                  <w:r w:rsidRPr="00445817">
                    <w:rPr>
                      <w:rFonts w:cstheme="minorHAnsi"/>
                      <w:bCs/>
                      <w:sz w:val="16"/>
                      <w:szCs w:val="16"/>
                    </w:rPr>
                    <w:t xml:space="preserve">is om deeltijdwerkers die </w:t>
                  </w:r>
                  <w:r>
                    <w:rPr>
                      <w:rFonts w:cstheme="minorHAnsi"/>
                      <w:bCs/>
                      <w:sz w:val="16"/>
                      <w:szCs w:val="16"/>
                    </w:rPr>
                    <w:t xml:space="preserve">op jaarbasis </w:t>
                  </w:r>
                  <w:r w:rsidRPr="00445817">
                    <w:rPr>
                      <w:rFonts w:cstheme="minorHAnsi"/>
                      <w:bCs/>
                      <w:sz w:val="16"/>
                      <w:szCs w:val="16"/>
                    </w:rPr>
                    <w:t>onder de grens van het minimumloon vallen</w:t>
                  </w:r>
                  <w:r w:rsidR="002F4F1F">
                    <w:rPr>
                      <w:rFonts w:cstheme="minorHAnsi"/>
                      <w:bCs/>
                      <w:sz w:val="16"/>
                      <w:szCs w:val="16"/>
                    </w:rPr>
                    <w:t xml:space="preserve"> meer arbeidskorting te geven in 2026 ten opzichte van de standaardsituatie waarin de grenzen met het minimumloon zouden zijn geïndexeerd.</w:t>
                  </w:r>
                </w:p>
                <w:p w:rsidRPr="00161B87" w:rsidR="00EB1C2C" w:rsidP="004E3BD2" w:rsidRDefault="00EB1C2C" w14:paraId="24EAC6A6" w14:textId="7485B319">
                  <w:pPr>
                    <w:rPr>
                      <w:rFonts w:cstheme="minorHAnsi"/>
                      <w:bCs/>
                      <w:sz w:val="16"/>
                      <w:szCs w:val="16"/>
                    </w:rPr>
                  </w:pPr>
                </w:p>
              </w:tc>
            </w:tr>
            <w:tr w:rsidR="00962708" w:rsidTr="004E3BD2" w14:paraId="683110B9"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445817" w:rsidR="00962708" w:rsidP="0003533A" w:rsidRDefault="00962708" w14:paraId="175479C0" w14:textId="77777777">
                  <w:pPr>
                    <w:pStyle w:val="TableParagraph"/>
                    <w:ind w:left="823" w:right="231"/>
                    <w:rPr>
                      <w:rFonts w:cstheme="minorHAnsi"/>
                      <w:b/>
                      <w:color w:val="FFFFFF"/>
                      <w:sz w:val="16"/>
                      <w:szCs w:val="16"/>
                    </w:rPr>
                  </w:pPr>
                </w:p>
                <w:p w:rsidR="00962708" w:rsidP="0003533A" w:rsidRDefault="00962708" w14:paraId="1ECF896D" w14:textId="77777777">
                  <w:pPr>
                    <w:pStyle w:val="TableParagraph"/>
                    <w:numPr>
                      <w:ilvl w:val="0"/>
                      <w:numId w:val="5"/>
                    </w:numPr>
                    <w:ind w:right="231"/>
                    <w:rPr>
                      <w:rFonts w:cstheme="minorHAnsi"/>
                      <w:b/>
                      <w:sz w:val="16"/>
                      <w:szCs w:val="16"/>
                    </w:rPr>
                  </w:pPr>
                  <w:r>
                    <w:rPr>
                      <w:rFonts w:cstheme="minorHAnsi"/>
                      <w:b/>
                      <w:color w:val="FFFFFF"/>
                      <w:sz w:val="16"/>
                      <w:szCs w:val="16"/>
                    </w:rPr>
                    <w:t>Beleidsinstrument(en)</w:t>
                  </w:r>
                </w:p>
              </w:tc>
              <w:tc>
                <w:tcPr>
                  <w:tcW w:w="4073" w:type="dxa"/>
                  <w:tcBorders>
                    <w:top w:val="single" w:color="FFFFFF" w:sz="4" w:space="0"/>
                    <w:left w:val="single" w:color="FFFFFF" w:sz="4" w:space="0"/>
                    <w:bottom w:val="single" w:color="FFFFFF" w:sz="4" w:space="0"/>
                    <w:right w:val="nil"/>
                  </w:tcBorders>
                  <w:shd w:val="clear" w:color="auto" w:fill="D9E2F3" w:themeFill="accent5" w:themeFillTint="33"/>
                  <w:hideMark/>
                </w:tcPr>
                <w:p w:rsidR="00962708" w:rsidP="004E3BD2" w:rsidRDefault="00445817" w14:paraId="7273C9BB" w14:textId="16AEB6EE">
                  <w:pPr>
                    <w:rPr>
                      <w:rFonts w:cstheme="minorHAnsi"/>
                      <w:bCs/>
                      <w:sz w:val="16"/>
                      <w:szCs w:val="16"/>
                    </w:rPr>
                  </w:pPr>
                  <w:r>
                    <w:rPr>
                      <w:rFonts w:cstheme="minorHAnsi"/>
                      <w:bCs/>
                      <w:sz w:val="16"/>
                      <w:szCs w:val="16"/>
                    </w:rPr>
                    <w:t xml:space="preserve">In het pakket worden </w:t>
                  </w:r>
                  <w:r w:rsidR="00695CC3">
                    <w:rPr>
                      <w:rFonts w:cstheme="minorHAnsi"/>
                      <w:bCs/>
                      <w:sz w:val="16"/>
                      <w:szCs w:val="16"/>
                    </w:rPr>
                    <w:t xml:space="preserve">de inkomensgrenzen van </w:t>
                  </w:r>
                  <w:r>
                    <w:rPr>
                      <w:rFonts w:cstheme="minorHAnsi"/>
                      <w:bCs/>
                      <w:sz w:val="16"/>
                      <w:szCs w:val="16"/>
                    </w:rPr>
                    <w:t>de eerste twee knikpunten van de arbeidskorting</w:t>
                  </w:r>
                  <w:r w:rsidR="00695CC3">
                    <w:rPr>
                      <w:rFonts w:cstheme="minorHAnsi"/>
                      <w:bCs/>
                      <w:sz w:val="16"/>
                      <w:szCs w:val="16"/>
                    </w:rPr>
                    <w:t xml:space="preserve"> verlaagd</w:t>
                  </w:r>
                  <w:r w:rsidR="00884C7F">
                    <w:rPr>
                      <w:rFonts w:cstheme="minorHAnsi"/>
                      <w:bCs/>
                      <w:sz w:val="16"/>
                      <w:szCs w:val="16"/>
                    </w:rPr>
                    <w:t xml:space="preserve"> met respectievelijk € 774 en € 1674</w:t>
                  </w:r>
                  <w:r w:rsidR="00695CC3">
                    <w:rPr>
                      <w:rFonts w:cstheme="minorHAnsi"/>
                      <w:bCs/>
                      <w:sz w:val="16"/>
                      <w:szCs w:val="16"/>
                    </w:rPr>
                    <w:t xml:space="preserve">. Ter dekking wordt de verhoging van </w:t>
                  </w:r>
                  <w:r w:rsidR="00DC2D25">
                    <w:rPr>
                      <w:rFonts w:cstheme="minorHAnsi"/>
                      <w:bCs/>
                      <w:sz w:val="16"/>
                      <w:szCs w:val="16"/>
                    </w:rPr>
                    <w:t xml:space="preserve">de arbeidskorting bij </w:t>
                  </w:r>
                  <w:r w:rsidR="00695CC3">
                    <w:rPr>
                      <w:rFonts w:cstheme="minorHAnsi"/>
                      <w:bCs/>
                      <w:sz w:val="16"/>
                      <w:szCs w:val="16"/>
                    </w:rPr>
                    <w:t xml:space="preserve">het tweede en derde knikpunt </w:t>
                  </w:r>
                  <w:r w:rsidR="00DC2D25">
                    <w:rPr>
                      <w:rFonts w:cstheme="minorHAnsi"/>
                      <w:bCs/>
                      <w:sz w:val="16"/>
                      <w:szCs w:val="16"/>
                    </w:rPr>
                    <w:t>uit</w:t>
                  </w:r>
                  <w:r w:rsidR="00884C7F">
                    <w:rPr>
                      <w:rFonts w:cstheme="minorHAnsi"/>
                      <w:bCs/>
                      <w:sz w:val="16"/>
                      <w:szCs w:val="16"/>
                    </w:rPr>
                    <w:t xml:space="preserve"> het Belastingplan 2026 </w:t>
                  </w:r>
                  <w:r w:rsidR="00695CC3">
                    <w:rPr>
                      <w:rFonts w:cstheme="minorHAnsi"/>
                      <w:bCs/>
                      <w:sz w:val="16"/>
                      <w:szCs w:val="16"/>
                    </w:rPr>
                    <w:t xml:space="preserve">teruggedraaid, het tarief eerste schijf </w:t>
                  </w:r>
                  <w:r w:rsidR="005A50B8">
                    <w:rPr>
                      <w:rFonts w:cstheme="minorHAnsi"/>
                      <w:bCs/>
                      <w:sz w:val="16"/>
                      <w:szCs w:val="16"/>
                    </w:rPr>
                    <w:t xml:space="preserve">wordt </w:t>
                  </w:r>
                  <w:r w:rsidR="00746FC4">
                    <w:rPr>
                      <w:rFonts w:cstheme="minorHAnsi"/>
                      <w:bCs/>
                      <w:sz w:val="16"/>
                      <w:szCs w:val="16"/>
                    </w:rPr>
                    <w:t xml:space="preserve">met 0,05%-punt </w:t>
                  </w:r>
                  <w:r w:rsidR="00DC2D25">
                    <w:rPr>
                      <w:rFonts w:cstheme="minorHAnsi"/>
                      <w:bCs/>
                      <w:sz w:val="16"/>
                      <w:szCs w:val="16"/>
                    </w:rPr>
                    <w:t>verhoogd</w:t>
                  </w:r>
                  <w:r w:rsidR="00695CC3">
                    <w:rPr>
                      <w:rFonts w:cstheme="minorHAnsi"/>
                      <w:bCs/>
                      <w:sz w:val="16"/>
                      <w:szCs w:val="16"/>
                    </w:rPr>
                    <w:t xml:space="preserve"> en het aangrijp</w:t>
                  </w:r>
                  <w:r w:rsidR="00DC2D25">
                    <w:rPr>
                      <w:rFonts w:cstheme="minorHAnsi"/>
                      <w:bCs/>
                      <w:sz w:val="16"/>
                      <w:szCs w:val="16"/>
                    </w:rPr>
                    <w:t>ings</w:t>
                  </w:r>
                  <w:r w:rsidR="00695CC3">
                    <w:rPr>
                      <w:rFonts w:cstheme="minorHAnsi"/>
                      <w:bCs/>
                      <w:sz w:val="16"/>
                      <w:szCs w:val="16"/>
                    </w:rPr>
                    <w:t>punt</w:t>
                  </w:r>
                  <w:r w:rsidR="00DC2D25">
                    <w:rPr>
                      <w:rFonts w:cstheme="minorHAnsi"/>
                      <w:bCs/>
                      <w:sz w:val="16"/>
                      <w:szCs w:val="16"/>
                    </w:rPr>
                    <w:t xml:space="preserve"> van het</w:t>
                  </w:r>
                  <w:r w:rsidR="00695CC3">
                    <w:rPr>
                      <w:rFonts w:cstheme="minorHAnsi"/>
                      <w:bCs/>
                      <w:sz w:val="16"/>
                      <w:szCs w:val="16"/>
                    </w:rPr>
                    <w:t xml:space="preserve"> toptarief </w:t>
                  </w:r>
                  <w:r w:rsidR="00746FC4">
                    <w:rPr>
                      <w:rFonts w:cstheme="minorHAnsi"/>
                      <w:bCs/>
                      <w:sz w:val="16"/>
                      <w:szCs w:val="16"/>
                    </w:rPr>
                    <w:t xml:space="preserve">met € 711 </w:t>
                  </w:r>
                  <w:r w:rsidR="00DC2D25">
                    <w:rPr>
                      <w:rFonts w:cstheme="minorHAnsi"/>
                      <w:bCs/>
                      <w:sz w:val="16"/>
                      <w:szCs w:val="16"/>
                    </w:rPr>
                    <w:t>verlaagd.</w:t>
                  </w:r>
                </w:p>
                <w:p w:rsidR="00884C7F" w:rsidP="004E3BD2" w:rsidRDefault="00884C7F" w14:paraId="68B4015A" w14:textId="77777777">
                  <w:pPr>
                    <w:rPr>
                      <w:rFonts w:cstheme="minorHAnsi"/>
                      <w:bCs/>
                      <w:sz w:val="16"/>
                      <w:szCs w:val="16"/>
                    </w:rPr>
                  </w:pPr>
                </w:p>
                <w:p w:rsidRPr="00161B87" w:rsidR="00EB1C2C" w:rsidP="004E3BD2" w:rsidRDefault="00EB1C2C" w14:paraId="1AD7E9CD" w14:textId="5714318B">
                  <w:pPr>
                    <w:rPr>
                      <w:rFonts w:cstheme="minorHAnsi"/>
                      <w:bCs/>
                      <w:sz w:val="16"/>
                      <w:szCs w:val="16"/>
                    </w:rPr>
                  </w:pPr>
                </w:p>
              </w:tc>
            </w:tr>
            <w:tr w:rsidR="00962708" w:rsidTr="004E3BD2" w14:paraId="06C477BE"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962708" w:rsidR="00962708" w:rsidP="0003533A" w:rsidRDefault="00962708" w14:paraId="3D5B6C56" w14:textId="77777777">
                  <w:pPr>
                    <w:pStyle w:val="TableParagraph"/>
                    <w:spacing w:before="144"/>
                    <w:ind w:left="198" w:right="506"/>
                    <w:rPr>
                      <w:rFonts w:cstheme="minorHAnsi"/>
                      <w:b/>
                      <w:sz w:val="16"/>
                      <w:szCs w:val="16"/>
                    </w:rPr>
                  </w:pPr>
                  <w:r>
                    <w:rPr>
                      <w:rFonts w:cstheme="minorHAnsi"/>
                      <w:b/>
                      <w:color w:val="FFFFFF"/>
                      <w:sz w:val="16"/>
                      <w:szCs w:val="16"/>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9E2F3" w:themeFill="accent5" w:themeFillTint="33"/>
                  <w:hideMark/>
                </w:tcPr>
                <w:p w:rsidR="00962708" w:rsidP="004E3BD2" w:rsidRDefault="00DC2D25" w14:paraId="4BA94B30" w14:textId="40466A69">
                  <w:pPr>
                    <w:rPr>
                      <w:rFonts w:cstheme="minorHAnsi"/>
                      <w:bCs/>
                      <w:sz w:val="16"/>
                      <w:szCs w:val="16"/>
                    </w:rPr>
                  </w:pPr>
                  <w:r>
                    <w:rPr>
                      <w:rFonts w:cstheme="minorHAnsi"/>
                      <w:bCs/>
                      <w:sz w:val="16"/>
                      <w:szCs w:val="16"/>
                    </w:rPr>
                    <w:t xml:space="preserve">Het verlagen van de eerste twee knikpunten van de arbeidskorting kost € 604 </w:t>
                  </w:r>
                  <w:proofErr w:type="spellStart"/>
                  <w:r>
                    <w:rPr>
                      <w:rFonts w:cstheme="minorHAnsi"/>
                      <w:bCs/>
                      <w:sz w:val="16"/>
                      <w:szCs w:val="16"/>
                    </w:rPr>
                    <w:t>mln</w:t>
                  </w:r>
                  <w:proofErr w:type="spellEnd"/>
                  <w:r>
                    <w:rPr>
                      <w:rFonts w:cstheme="minorHAnsi"/>
                      <w:bCs/>
                      <w:sz w:val="16"/>
                      <w:szCs w:val="16"/>
                    </w:rPr>
                    <w:t xml:space="preserve"> in 2026. Inclusief h</w:t>
                  </w:r>
                  <w:r w:rsidR="00695CC3">
                    <w:rPr>
                      <w:rFonts w:cstheme="minorHAnsi"/>
                      <w:bCs/>
                      <w:sz w:val="16"/>
                      <w:szCs w:val="16"/>
                    </w:rPr>
                    <w:t xml:space="preserve">et pakket aan </w:t>
                  </w:r>
                  <w:r>
                    <w:rPr>
                      <w:rFonts w:cstheme="minorHAnsi"/>
                      <w:bCs/>
                      <w:sz w:val="16"/>
                      <w:szCs w:val="16"/>
                    </w:rPr>
                    <w:t>dekkings</w:t>
                  </w:r>
                  <w:r w:rsidR="00695CC3">
                    <w:rPr>
                      <w:rFonts w:cstheme="minorHAnsi"/>
                      <w:bCs/>
                      <w:sz w:val="16"/>
                      <w:szCs w:val="16"/>
                    </w:rPr>
                    <w:t>maatregelen leidt</w:t>
                  </w:r>
                  <w:r>
                    <w:rPr>
                      <w:rFonts w:cstheme="minorHAnsi"/>
                      <w:bCs/>
                      <w:sz w:val="16"/>
                      <w:szCs w:val="16"/>
                    </w:rPr>
                    <w:t xml:space="preserve"> de nota van wijziging</w:t>
                  </w:r>
                  <w:r w:rsidR="00695CC3">
                    <w:rPr>
                      <w:rFonts w:cstheme="minorHAnsi"/>
                      <w:bCs/>
                      <w:sz w:val="16"/>
                      <w:szCs w:val="16"/>
                    </w:rPr>
                    <w:t xml:space="preserve"> in 2026 tot een budgettaire opbrengst van </w:t>
                  </w:r>
                  <w:r w:rsidR="00A142E1">
                    <w:rPr>
                      <w:rFonts w:cstheme="minorHAnsi"/>
                      <w:bCs/>
                      <w:sz w:val="16"/>
                      <w:szCs w:val="16"/>
                    </w:rPr>
                    <w:t>6</w:t>
                  </w:r>
                  <w:r w:rsidR="00695CC3">
                    <w:rPr>
                      <w:rFonts w:cstheme="minorHAnsi"/>
                      <w:bCs/>
                      <w:sz w:val="16"/>
                      <w:szCs w:val="16"/>
                    </w:rPr>
                    <w:t xml:space="preserve"> </w:t>
                  </w:r>
                  <w:proofErr w:type="spellStart"/>
                  <w:r w:rsidR="00695CC3">
                    <w:rPr>
                      <w:rFonts w:cstheme="minorHAnsi"/>
                      <w:bCs/>
                      <w:sz w:val="16"/>
                      <w:szCs w:val="16"/>
                    </w:rPr>
                    <w:t>mln</w:t>
                  </w:r>
                  <w:proofErr w:type="spellEnd"/>
                  <w:r>
                    <w:rPr>
                      <w:rFonts w:cstheme="minorHAnsi"/>
                      <w:bCs/>
                      <w:sz w:val="16"/>
                      <w:szCs w:val="16"/>
                    </w:rPr>
                    <w:t xml:space="preserve"> </w:t>
                  </w:r>
                  <w:r w:rsidR="00695CC3">
                    <w:rPr>
                      <w:rFonts w:cstheme="minorHAnsi"/>
                      <w:bCs/>
                      <w:sz w:val="16"/>
                      <w:szCs w:val="16"/>
                    </w:rPr>
                    <w:t xml:space="preserve">. </w:t>
                  </w:r>
                  <w:r w:rsidR="00F66D44">
                    <w:rPr>
                      <w:rFonts w:cstheme="minorHAnsi"/>
                      <w:bCs/>
                      <w:sz w:val="16"/>
                      <w:szCs w:val="16"/>
                    </w:rPr>
                    <w:t>V</w:t>
                  </w:r>
                  <w:r w:rsidR="00695CC3">
                    <w:rPr>
                      <w:rFonts w:cstheme="minorHAnsi"/>
                      <w:bCs/>
                      <w:sz w:val="16"/>
                      <w:szCs w:val="16"/>
                    </w:rPr>
                    <w:t xml:space="preserve">oor de verdere budgettaire gevolgen wordt verwezen naar de memorie van toelichting bij de nota van wijzing. </w:t>
                  </w:r>
                </w:p>
                <w:p w:rsidR="00884C7F" w:rsidP="004E3BD2" w:rsidRDefault="00884C7F" w14:paraId="11658198" w14:textId="77777777">
                  <w:pPr>
                    <w:rPr>
                      <w:rFonts w:cstheme="minorHAnsi"/>
                      <w:bCs/>
                      <w:sz w:val="16"/>
                      <w:szCs w:val="16"/>
                    </w:rPr>
                  </w:pPr>
                </w:p>
                <w:p w:rsidRPr="00161B87" w:rsidR="00EB1C2C" w:rsidP="004E3BD2" w:rsidRDefault="00EB1C2C" w14:paraId="775804FE" w14:textId="635FFD69">
                  <w:pPr>
                    <w:rPr>
                      <w:rFonts w:cstheme="minorHAnsi"/>
                      <w:bCs/>
                      <w:sz w:val="16"/>
                      <w:szCs w:val="16"/>
                    </w:rPr>
                  </w:pPr>
                </w:p>
              </w:tc>
            </w:tr>
            <w:tr w:rsidR="00962708" w:rsidTr="004E3BD2" w14:paraId="25AA4968"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962708" w:rsidR="00962708" w:rsidP="0003533A" w:rsidRDefault="00962708" w14:paraId="3A32640E" w14:textId="77777777">
                  <w:pPr>
                    <w:pStyle w:val="TableParagraph"/>
                    <w:spacing w:before="146"/>
                    <w:ind w:left="198" w:right="92"/>
                    <w:rPr>
                      <w:rFonts w:cstheme="minorHAnsi"/>
                      <w:b/>
                      <w:sz w:val="16"/>
                      <w:szCs w:val="16"/>
                    </w:rPr>
                  </w:pPr>
                  <w:r>
                    <w:rPr>
                      <w:rFonts w:cstheme="minorHAnsi"/>
                      <w:b/>
                      <w:color w:val="FFFFFF"/>
                      <w:sz w:val="16"/>
                      <w:szCs w:val="16"/>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9E2F3" w:themeFill="accent5" w:themeFillTint="33"/>
                  <w:hideMark/>
                </w:tcPr>
                <w:p w:rsidRPr="00161B87" w:rsidR="00962708" w:rsidP="004E3BD2" w:rsidRDefault="00DC2D25" w14:paraId="3A35311F" w14:textId="00F5D303">
                  <w:pPr>
                    <w:rPr>
                      <w:rFonts w:cstheme="minorHAnsi"/>
                      <w:bCs/>
                      <w:sz w:val="16"/>
                      <w:szCs w:val="16"/>
                    </w:rPr>
                  </w:pPr>
                  <w:r>
                    <w:rPr>
                      <w:rFonts w:cstheme="minorHAnsi"/>
                      <w:bCs/>
                      <w:sz w:val="16"/>
                      <w:szCs w:val="16"/>
                    </w:rPr>
                    <w:t xml:space="preserve"> Het pakket leidt tot een lastenverlichting voor werkenden met een jaarinkomen onder het minimumloon en een lastenverzwaring voor andere burgers. Het mediane inkomenseffect voor alle huishoudens is -0,1% in 2026.</w:t>
                  </w:r>
                </w:p>
              </w:tc>
            </w:tr>
            <w:tr w:rsidR="00962708" w:rsidTr="004E3BD2" w14:paraId="18A7C0D0"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00962708" w:rsidP="0003533A" w:rsidRDefault="00962708" w14:paraId="10CED7C7" w14:textId="77777777">
                  <w:pPr>
                    <w:pStyle w:val="TableParagraph"/>
                    <w:numPr>
                      <w:ilvl w:val="0"/>
                      <w:numId w:val="2"/>
                    </w:numPr>
                    <w:spacing w:before="141"/>
                    <w:ind w:right="829"/>
                    <w:rPr>
                      <w:rFonts w:cstheme="minorHAnsi"/>
                      <w:b/>
                      <w:sz w:val="16"/>
                      <w:szCs w:val="16"/>
                      <w:lang w:val="en-US"/>
                    </w:rPr>
                  </w:pPr>
                  <w:r>
                    <w:rPr>
                      <w:rFonts w:cstheme="minorHAnsi"/>
                      <w:b/>
                      <w:color w:val="FFFFFF"/>
                      <w:sz w:val="16"/>
                      <w:szCs w:val="16"/>
                    </w:rPr>
                    <w:t>Nagestreefde doeltreffendheid</w:t>
                  </w:r>
                </w:p>
              </w:tc>
              <w:tc>
                <w:tcPr>
                  <w:tcW w:w="4073" w:type="dxa"/>
                  <w:tcBorders>
                    <w:top w:val="single" w:color="FFFFFF" w:sz="4" w:space="0"/>
                    <w:left w:val="single" w:color="FFFFFF" w:sz="4" w:space="0"/>
                    <w:bottom w:val="single" w:color="FFFFFF" w:sz="4" w:space="0"/>
                    <w:right w:val="nil"/>
                  </w:tcBorders>
                  <w:shd w:val="clear" w:color="auto" w:fill="D9E2F3" w:themeFill="accent5" w:themeFillTint="33"/>
                  <w:hideMark/>
                </w:tcPr>
                <w:p w:rsidR="00962708" w:rsidP="004E3BD2" w:rsidRDefault="00695CC3" w14:paraId="5B858368" w14:textId="77777777">
                  <w:pPr>
                    <w:rPr>
                      <w:rFonts w:cstheme="minorHAnsi"/>
                      <w:bCs/>
                      <w:sz w:val="16"/>
                      <w:szCs w:val="16"/>
                    </w:rPr>
                  </w:pPr>
                  <w:r w:rsidRPr="00695CC3">
                    <w:rPr>
                      <w:rFonts w:cstheme="minorHAnsi"/>
                      <w:bCs/>
                      <w:sz w:val="16"/>
                      <w:szCs w:val="16"/>
                    </w:rPr>
                    <w:t>De doelstelling van de maatregel is om deeltijdwerkers die onder de grens van het minimumloon op jaarbasis vallen te compenseren voor het inkomensverlies als gevolg van de indexatiessystematiek van de arbeidskorting. De maatregel is doeltreffend in het bewerkstelligen van een positief inkomenseffect voor deeltijdwerkers onder het minimumloon, zij ontvangen meer arbeidskorting.</w:t>
                  </w:r>
                </w:p>
                <w:p w:rsidR="00884C7F" w:rsidP="004E3BD2" w:rsidRDefault="00884C7F" w14:paraId="6A3E1F2D" w14:textId="77777777">
                  <w:pPr>
                    <w:rPr>
                      <w:rFonts w:cstheme="minorHAnsi"/>
                      <w:bCs/>
                      <w:sz w:val="16"/>
                      <w:szCs w:val="16"/>
                    </w:rPr>
                  </w:pPr>
                </w:p>
                <w:p w:rsidRPr="00161B87" w:rsidR="00EB1C2C" w:rsidP="004E3BD2" w:rsidRDefault="00EB1C2C" w14:paraId="6A389B39" w14:textId="04ACD2AB">
                  <w:pPr>
                    <w:rPr>
                      <w:rFonts w:cstheme="minorHAnsi"/>
                      <w:bCs/>
                      <w:sz w:val="16"/>
                      <w:szCs w:val="16"/>
                    </w:rPr>
                  </w:pPr>
                </w:p>
              </w:tc>
            </w:tr>
            <w:tr w:rsidR="00962708" w:rsidTr="004E3BD2" w14:paraId="2735E020"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695CC3" w:rsidR="00962708" w:rsidP="0003533A" w:rsidRDefault="00962708" w14:paraId="769C9CA3" w14:textId="77777777">
                  <w:pPr>
                    <w:pStyle w:val="TableParagraph"/>
                    <w:rPr>
                      <w:rFonts w:asciiTheme="minorHAnsi" w:hAnsiTheme="minorHAnsi" w:cstheme="minorHAnsi"/>
                      <w:i/>
                      <w:sz w:val="16"/>
                      <w:szCs w:val="16"/>
                    </w:rPr>
                  </w:pPr>
                </w:p>
                <w:p w:rsidR="00962708" w:rsidP="0003533A" w:rsidRDefault="00962708" w14:paraId="71321871" w14:textId="77777777">
                  <w:pPr>
                    <w:pStyle w:val="TableParagraph"/>
                    <w:numPr>
                      <w:ilvl w:val="0"/>
                      <w:numId w:val="2"/>
                    </w:numPr>
                    <w:ind w:right="1066"/>
                    <w:rPr>
                      <w:rFonts w:cstheme="minorHAnsi"/>
                      <w:b/>
                      <w:sz w:val="16"/>
                      <w:szCs w:val="16"/>
                    </w:rPr>
                  </w:pPr>
                  <w:r>
                    <w:rPr>
                      <w:rFonts w:cstheme="minorHAnsi"/>
                      <w:b/>
                      <w:color w:val="FFFFFF"/>
                      <w:sz w:val="16"/>
                      <w:szCs w:val="16"/>
                    </w:rPr>
                    <w:t>Nagestreefde doelmatigheid</w:t>
                  </w:r>
                </w:p>
              </w:tc>
              <w:tc>
                <w:tcPr>
                  <w:tcW w:w="4073" w:type="dxa"/>
                  <w:tcBorders>
                    <w:top w:val="single" w:color="FFFFFF" w:sz="4" w:space="0"/>
                    <w:left w:val="single" w:color="FFFFFF" w:sz="4" w:space="0"/>
                    <w:bottom w:val="single" w:color="FFFFFF" w:sz="4" w:space="0"/>
                    <w:right w:val="nil"/>
                  </w:tcBorders>
                  <w:shd w:val="clear" w:color="auto" w:fill="D9E2F3" w:themeFill="accent5" w:themeFillTint="33"/>
                  <w:hideMark/>
                </w:tcPr>
                <w:p w:rsidR="00962708" w:rsidP="004E3BD2" w:rsidRDefault="00695CC3" w14:paraId="30BC9AD7" w14:textId="31245E4C">
                  <w:pPr>
                    <w:rPr>
                      <w:rFonts w:cstheme="minorHAnsi"/>
                      <w:bCs/>
                      <w:sz w:val="16"/>
                      <w:szCs w:val="16"/>
                    </w:rPr>
                  </w:pPr>
                  <w:r w:rsidRPr="00695CC3">
                    <w:rPr>
                      <w:rFonts w:cstheme="minorHAnsi"/>
                      <w:bCs/>
                      <w:sz w:val="16"/>
                      <w:szCs w:val="16"/>
                    </w:rPr>
                    <w:t>De maatregel is beperkt doelmatig</w:t>
                  </w:r>
                  <w:r w:rsidR="0099024E">
                    <w:rPr>
                      <w:rFonts w:cstheme="minorHAnsi"/>
                      <w:bCs/>
                      <w:sz w:val="16"/>
                      <w:szCs w:val="16"/>
                    </w:rPr>
                    <w:t xml:space="preserve">. Het steile opbouwtraject van de arbeidskorting, dat nu loopt tot 99,95% van het wettelijk minimumloon (WML), heeft als doel om arbeidsparticipatie te stimuleren. Voor deze inkomens loont het sterk om meer te gaan werken. Door de wijziging komt het tweede knikpunt lager te liggen, op 93,67% van het </w:t>
                  </w:r>
                  <w:r w:rsidRPr="00695CC3">
                    <w:rPr>
                      <w:rFonts w:cstheme="minorHAnsi"/>
                      <w:bCs/>
                      <w:sz w:val="16"/>
                      <w:szCs w:val="16"/>
                    </w:rPr>
                    <w:t xml:space="preserve"> </w:t>
                  </w:r>
                  <w:r w:rsidR="0099024E">
                    <w:rPr>
                      <w:rFonts w:cstheme="minorHAnsi"/>
                      <w:bCs/>
                      <w:sz w:val="16"/>
                      <w:szCs w:val="16"/>
                    </w:rPr>
                    <w:t>WML). H</w:t>
                  </w:r>
                  <w:r w:rsidRPr="00695CC3">
                    <w:rPr>
                      <w:rFonts w:cstheme="minorHAnsi"/>
                      <w:bCs/>
                      <w:sz w:val="16"/>
                      <w:szCs w:val="16"/>
                    </w:rPr>
                    <w:t>ierdoor</w:t>
                  </w:r>
                  <w:r w:rsidR="0099024E">
                    <w:rPr>
                      <w:rFonts w:cstheme="minorHAnsi"/>
                      <w:bCs/>
                      <w:sz w:val="16"/>
                      <w:szCs w:val="16"/>
                    </w:rPr>
                    <w:t xml:space="preserve"> wordt </w:t>
                  </w:r>
                  <w:r w:rsidRPr="00695CC3">
                    <w:rPr>
                      <w:rFonts w:cstheme="minorHAnsi"/>
                      <w:bCs/>
                      <w:sz w:val="16"/>
                      <w:szCs w:val="16"/>
                    </w:rPr>
                    <w:t xml:space="preserve"> een groep deeltijdwerkers </w:t>
                  </w:r>
                  <w:r w:rsidR="0099024E">
                    <w:rPr>
                      <w:rFonts w:cstheme="minorHAnsi"/>
                      <w:bCs/>
                      <w:sz w:val="16"/>
                      <w:szCs w:val="16"/>
                    </w:rPr>
                    <w:t>minder</w:t>
                  </w:r>
                  <w:r w:rsidRPr="00695CC3">
                    <w:rPr>
                      <w:rFonts w:cstheme="minorHAnsi"/>
                      <w:bCs/>
                      <w:sz w:val="16"/>
                      <w:szCs w:val="16"/>
                    </w:rPr>
                    <w:t xml:space="preserve"> door de AK gestimuleerd om voltijd te werken</w:t>
                  </w:r>
                  <w:r w:rsidR="0099024E">
                    <w:rPr>
                      <w:rFonts w:cstheme="minorHAnsi"/>
                      <w:bCs/>
                      <w:sz w:val="16"/>
                      <w:szCs w:val="16"/>
                    </w:rPr>
                    <w:t xml:space="preserve">. Dit is niet in lijn met een van de doelen van de arbeidskorting, het stimuleren van de arbeidsparticipatie. </w:t>
                  </w:r>
                </w:p>
                <w:p w:rsidR="00F0207E" w:rsidP="004E3BD2" w:rsidRDefault="00F0207E" w14:paraId="66CE40DA" w14:textId="77777777">
                  <w:pPr>
                    <w:rPr>
                      <w:rFonts w:cstheme="minorHAnsi"/>
                      <w:bCs/>
                      <w:sz w:val="16"/>
                      <w:szCs w:val="16"/>
                    </w:rPr>
                  </w:pPr>
                </w:p>
                <w:p w:rsidRPr="00161B87" w:rsidR="00EB1C2C" w:rsidP="004E3BD2" w:rsidRDefault="00EB1C2C" w14:paraId="29E09160" w14:textId="0E503700">
                  <w:pPr>
                    <w:rPr>
                      <w:rFonts w:cstheme="minorHAnsi"/>
                      <w:bCs/>
                      <w:sz w:val="16"/>
                      <w:szCs w:val="16"/>
                    </w:rPr>
                  </w:pPr>
                </w:p>
              </w:tc>
            </w:tr>
            <w:tr w:rsidR="00962708" w:rsidTr="004E3BD2" w14:paraId="3E550EDF"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695CC3" w:rsidR="00962708" w:rsidP="0003533A" w:rsidRDefault="00962708" w14:paraId="58E3F3B4" w14:textId="77777777">
                  <w:pPr>
                    <w:pStyle w:val="TableParagraph"/>
                    <w:ind w:left="103" w:right="1066"/>
                    <w:rPr>
                      <w:rFonts w:cstheme="minorHAnsi"/>
                      <w:b/>
                      <w:color w:val="FFFFFF"/>
                      <w:sz w:val="16"/>
                      <w:szCs w:val="16"/>
                    </w:rPr>
                  </w:pPr>
                </w:p>
                <w:p w:rsidR="00962708" w:rsidP="0003533A" w:rsidRDefault="00962708" w14:paraId="3C09368E" w14:textId="77777777">
                  <w:pPr>
                    <w:pStyle w:val="TableParagraph"/>
                    <w:numPr>
                      <w:ilvl w:val="0"/>
                      <w:numId w:val="2"/>
                    </w:numPr>
                    <w:ind w:right="1066"/>
                    <w:rPr>
                      <w:rFonts w:cstheme="minorHAnsi"/>
                      <w:sz w:val="16"/>
                      <w:szCs w:val="16"/>
                    </w:rPr>
                  </w:pPr>
                  <w:r>
                    <w:rPr>
                      <w:rFonts w:cstheme="minorHAnsi"/>
                      <w:b/>
                      <w:color w:val="FFFFFF"/>
                      <w:sz w:val="16"/>
                      <w:szCs w:val="16"/>
                    </w:rPr>
                    <w:t>Evaluatieparagraaf</w:t>
                  </w:r>
                </w:p>
              </w:tc>
              <w:tc>
                <w:tcPr>
                  <w:tcW w:w="4073" w:type="dxa"/>
                  <w:tcBorders>
                    <w:top w:val="single" w:color="FFFFFF" w:sz="4" w:space="0"/>
                    <w:left w:val="single" w:color="FFFFFF" w:sz="4" w:space="0"/>
                    <w:bottom w:val="single" w:color="FFFFFF" w:sz="4" w:space="0"/>
                    <w:right w:val="nil"/>
                  </w:tcBorders>
                  <w:shd w:val="clear" w:color="auto" w:fill="D9E2F3" w:themeFill="accent5" w:themeFillTint="33"/>
                  <w:hideMark/>
                </w:tcPr>
                <w:p w:rsidRPr="00161B87" w:rsidR="00962708" w:rsidP="004E3BD2" w:rsidRDefault="00695CC3" w14:paraId="487EAA38" w14:textId="218F45BC">
                  <w:pPr>
                    <w:rPr>
                      <w:rFonts w:cstheme="minorHAnsi"/>
                      <w:bCs/>
                      <w:sz w:val="16"/>
                      <w:szCs w:val="16"/>
                    </w:rPr>
                  </w:pPr>
                  <w:r w:rsidRPr="00695CC3">
                    <w:rPr>
                      <w:rFonts w:cstheme="minorHAnsi"/>
                      <w:bCs/>
                      <w:sz w:val="16"/>
                      <w:szCs w:val="16"/>
                    </w:rPr>
                    <w:t>Er is geen evaluatie voorzien van de voorgestelde wijzigingen, het betreft beperkte parameteraanpassingen.</w:t>
                  </w:r>
                </w:p>
              </w:tc>
            </w:tr>
          </w:tbl>
          <w:p w:rsidRPr="00695CC3" w:rsidR="00962708" w:rsidRDefault="00962708" w14:paraId="60284366" w14:textId="77777777">
            <w:pPr>
              <w:rPr>
                <w:rFonts w:ascii="Verdana" w:hAnsi="Verdana" w:cstheme="minorBidi"/>
                <w:sz w:val="18"/>
              </w:rPr>
            </w:pPr>
          </w:p>
        </w:tc>
      </w:tr>
    </w:tbl>
    <w:p w:rsidR="00B06701" w:rsidRDefault="00B06701" w14:paraId="57255C42" w14:textId="77777777"/>
    <w:p w:rsidRPr="004958FB" w:rsidR="004958FB" w:rsidP="004958FB" w:rsidRDefault="004958FB" w14:paraId="3E225C83" w14:textId="5E6E5705">
      <w:pPr>
        <w:rPr>
          <w:rFonts w:ascii="Verdana" w:hAnsi="Verdana"/>
          <w:sz w:val="18"/>
          <w:szCs w:val="16"/>
        </w:rPr>
      </w:pPr>
    </w:p>
    <w:sectPr w:rsidRPr="004958FB" w:rsidR="004958FB"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EEAF" w14:textId="77777777" w:rsidR="00A0511D" w:rsidRDefault="00A0511D" w:rsidP="00962708">
      <w:r>
        <w:separator/>
      </w:r>
    </w:p>
  </w:endnote>
  <w:endnote w:type="continuationSeparator" w:id="0">
    <w:p w14:paraId="02059E6E" w14:textId="77777777" w:rsidR="00A0511D" w:rsidRDefault="00A0511D" w:rsidP="0096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ijksoverheidSansTex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93067" w14:textId="77777777" w:rsidR="00A0511D" w:rsidRDefault="00A0511D" w:rsidP="00962708">
      <w:r>
        <w:separator/>
      </w:r>
    </w:p>
  </w:footnote>
  <w:footnote w:type="continuationSeparator" w:id="0">
    <w:p w14:paraId="44229069" w14:textId="77777777" w:rsidR="00A0511D" w:rsidRDefault="00A0511D" w:rsidP="00962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F4173"/>
    <w:multiLevelType w:val="hybridMultilevel"/>
    <w:tmpl w:val="39F84838"/>
    <w:lvl w:ilvl="0" w:tplc="1A569E88">
      <w:start w:val="4"/>
      <w:numFmt w:val="decimal"/>
      <w:lvlText w:val="%1."/>
      <w:lvlJc w:val="left"/>
      <w:pPr>
        <w:ind w:left="720" w:hanging="360"/>
      </w:pPr>
      <w:rPr>
        <w:b/>
        <w:bCs/>
        <w:color w:val="FFFFFF"/>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740365E7"/>
    <w:multiLevelType w:val="hybridMultilevel"/>
    <w:tmpl w:val="C49E8A36"/>
    <w:lvl w:ilvl="0" w:tplc="8D1E21AE">
      <w:start w:val="1"/>
      <w:numFmt w:val="decimal"/>
      <w:lvlText w:val="%1."/>
      <w:lvlJc w:val="left"/>
      <w:pPr>
        <w:ind w:left="463" w:hanging="360"/>
      </w:pPr>
      <w:rPr>
        <w:rFonts w:hint="default"/>
        <w:color w:val="FFFFFF"/>
      </w:rPr>
    </w:lvl>
    <w:lvl w:ilvl="1" w:tplc="04130019">
      <w:start w:val="1"/>
      <w:numFmt w:val="lowerLetter"/>
      <w:lvlText w:val="%2."/>
      <w:lvlJc w:val="left"/>
      <w:pPr>
        <w:ind w:left="1183" w:hanging="360"/>
      </w:pPr>
    </w:lvl>
    <w:lvl w:ilvl="2" w:tplc="0413001B">
      <w:start w:val="1"/>
      <w:numFmt w:val="lowerRoman"/>
      <w:lvlText w:val="%3."/>
      <w:lvlJc w:val="right"/>
      <w:pPr>
        <w:ind w:left="1903" w:hanging="180"/>
      </w:pPr>
    </w:lvl>
    <w:lvl w:ilvl="3" w:tplc="0413000F">
      <w:start w:val="1"/>
      <w:numFmt w:val="decimal"/>
      <w:lvlText w:val="%4."/>
      <w:lvlJc w:val="left"/>
      <w:pPr>
        <w:ind w:left="2623" w:hanging="360"/>
      </w:pPr>
    </w:lvl>
    <w:lvl w:ilvl="4" w:tplc="04130019">
      <w:start w:val="1"/>
      <w:numFmt w:val="lowerLetter"/>
      <w:lvlText w:val="%5."/>
      <w:lvlJc w:val="left"/>
      <w:pPr>
        <w:ind w:left="3343" w:hanging="360"/>
      </w:pPr>
    </w:lvl>
    <w:lvl w:ilvl="5" w:tplc="0413001B">
      <w:start w:val="1"/>
      <w:numFmt w:val="lowerRoman"/>
      <w:lvlText w:val="%6."/>
      <w:lvlJc w:val="right"/>
      <w:pPr>
        <w:ind w:left="4063" w:hanging="180"/>
      </w:pPr>
    </w:lvl>
    <w:lvl w:ilvl="6" w:tplc="0413000F">
      <w:start w:val="1"/>
      <w:numFmt w:val="decimal"/>
      <w:lvlText w:val="%7."/>
      <w:lvlJc w:val="left"/>
      <w:pPr>
        <w:ind w:left="4783" w:hanging="360"/>
      </w:pPr>
    </w:lvl>
    <w:lvl w:ilvl="7" w:tplc="04130019">
      <w:start w:val="1"/>
      <w:numFmt w:val="lowerLetter"/>
      <w:lvlText w:val="%8."/>
      <w:lvlJc w:val="left"/>
      <w:pPr>
        <w:ind w:left="5503" w:hanging="360"/>
      </w:pPr>
    </w:lvl>
    <w:lvl w:ilvl="8" w:tplc="0413001B">
      <w:start w:val="1"/>
      <w:numFmt w:val="lowerRoman"/>
      <w:lvlText w:val="%9."/>
      <w:lvlJc w:val="right"/>
      <w:pPr>
        <w:ind w:left="6223" w:hanging="180"/>
      </w:pPr>
    </w:lvl>
  </w:abstractNum>
  <w:abstractNum w:abstractNumId="2" w15:restartNumberingAfterBreak="0">
    <w:nsid w:val="7BF1157A"/>
    <w:multiLevelType w:val="hybridMultilevel"/>
    <w:tmpl w:val="6EDEB82A"/>
    <w:lvl w:ilvl="0" w:tplc="A2320358">
      <w:start w:val="1"/>
      <w:numFmt w:val="decimal"/>
      <w:lvlText w:val="%1."/>
      <w:lvlJc w:val="left"/>
      <w:pPr>
        <w:ind w:left="823" w:hanging="360"/>
      </w:pPr>
      <w:rPr>
        <w:color w:val="FFFFFF" w:themeColor="background1"/>
      </w:rPr>
    </w:lvl>
    <w:lvl w:ilvl="1" w:tplc="04130019" w:tentative="1">
      <w:start w:val="1"/>
      <w:numFmt w:val="lowerLetter"/>
      <w:lvlText w:val="%2."/>
      <w:lvlJc w:val="left"/>
      <w:pPr>
        <w:ind w:left="1543" w:hanging="360"/>
      </w:pPr>
    </w:lvl>
    <w:lvl w:ilvl="2" w:tplc="0413001B" w:tentative="1">
      <w:start w:val="1"/>
      <w:numFmt w:val="lowerRoman"/>
      <w:lvlText w:val="%3."/>
      <w:lvlJc w:val="right"/>
      <w:pPr>
        <w:ind w:left="2263" w:hanging="180"/>
      </w:pPr>
    </w:lvl>
    <w:lvl w:ilvl="3" w:tplc="0413000F" w:tentative="1">
      <w:start w:val="1"/>
      <w:numFmt w:val="decimal"/>
      <w:lvlText w:val="%4."/>
      <w:lvlJc w:val="left"/>
      <w:pPr>
        <w:ind w:left="2983" w:hanging="360"/>
      </w:pPr>
    </w:lvl>
    <w:lvl w:ilvl="4" w:tplc="04130019" w:tentative="1">
      <w:start w:val="1"/>
      <w:numFmt w:val="lowerLetter"/>
      <w:lvlText w:val="%5."/>
      <w:lvlJc w:val="left"/>
      <w:pPr>
        <w:ind w:left="3703" w:hanging="360"/>
      </w:pPr>
    </w:lvl>
    <w:lvl w:ilvl="5" w:tplc="0413001B" w:tentative="1">
      <w:start w:val="1"/>
      <w:numFmt w:val="lowerRoman"/>
      <w:lvlText w:val="%6."/>
      <w:lvlJc w:val="right"/>
      <w:pPr>
        <w:ind w:left="4423" w:hanging="180"/>
      </w:pPr>
    </w:lvl>
    <w:lvl w:ilvl="6" w:tplc="0413000F" w:tentative="1">
      <w:start w:val="1"/>
      <w:numFmt w:val="decimal"/>
      <w:lvlText w:val="%7."/>
      <w:lvlJc w:val="left"/>
      <w:pPr>
        <w:ind w:left="5143" w:hanging="360"/>
      </w:pPr>
    </w:lvl>
    <w:lvl w:ilvl="7" w:tplc="04130019" w:tentative="1">
      <w:start w:val="1"/>
      <w:numFmt w:val="lowerLetter"/>
      <w:lvlText w:val="%8."/>
      <w:lvlJc w:val="left"/>
      <w:pPr>
        <w:ind w:left="5863" w:hanging="360"/>
      </w:pPr>
    </w:lvl>
    <w:lvl w:ilvl="8" w:tplc="0413001B" w:tentative="1">
      <w:start w:val="1"/>
      <w:numFmt w:val="lowerRoman"/>
      <w:lvlText w:val="%9."/>
      <w:lvlJc w:val="right"/>
      <w:pPr>
        <w:ind w:left="6583" w:hanging="180"/>
      </w:pPr>
    </w:lvl>
  </w:abstractNum>
  <w:num w:numId="1" w16cid:durableId="796991770">
    <w:abstractNumId w:val="1"/>
  </w:num>
  <w:num w:numId="2" w16cid:durableId="193431886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145945">
    <w:abstractNumId w:val="0"/>
  </w:num>
  <w:num w:numId="4" w16cid:durableId="88551240">
    <w:abstractNumId w:val="1"/>
  </w:num>
  <w:num w:numId="5" w16cid:durableId="904874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08"/>
    <w:rsid w:val="0003533A"/>
    <w:rsid w:val="00035797"/>
    <w:rsid w:val="00045234"/>
    <w:rsid w:val="001424B0"/>
    <w:rsid w:val="001447FA"/>
    <w:rsid w:val="00161B87"/>
    <w:rsid w:val="001A2221"/>
    <w:rsid w:val="001D1007"/>
    <w:rsid w:val="001D6D0A"/>
    <w:rsid w:val="001E6A24"/>
    <w:rsid w:val="002119B3"/>
    <w:rsid w:val="00235A5C"/>
    <w:rsid w:val="002F4F1F"/>
    <w:rsid w:val="00350D65"/>
    <w:rsid w:val="003B5235"/>
    <w:rsid w:val="003E5C10"/>
    <w:rsid w:val="003F250B"/>
    <w:rsid w:val="0040343D"/>
    <w:rsid w:val="00444565"/>
    <w:rsid w:val="00445817"/>
    <w:rsid w:val="0046072D"/>
    <w:rsid w:val="004958FB"/>
    <w:rsid w:val="004D78E4"/>
    <w:rsid w:val="004E3BD2"/>
    <w:rsid w:val="00543B23"/>
    <w:rsid w:val="005A50B8"/>
    <w:rsid w:val="005E03D3"/>
    <w:rsid w:val="005F2F96"/>
    <w:rsid w:val="00655B10"/>
    <w:rsid w:val="006573B2"/>
    <w:rsid w:val="00695CC3"/>
    <w:rsid w:val="00746FC4"/>
    <w:rsid w:val="007875B7"/>
    <w:rsid w:val="00884C7F"/>
    <w:rsid w:val="00896A88"/>
    <w:rsid w:val="008A12F9"/>
    <w:rsid w:val="008E47B4"/>
    <w:rsid w:val="00962708"/>
    <w:rsid w:val="0099024E"/>
    <w:rsid w:val="009E3705"/>
    <w:rsid w:val="00A0511D"/>
    <w:rsid w:val="00A142E1"/>
    <w:rsid w:val="00AB3316"/>
    <w:rsid w:val="00AD08B0"/>
    <w:rsid w:val="00AF76EB"/>
    <w:rsid w:val="00B06701"/>
    <w:rsid w:val="00B51528"/>
    <w:rsid w:val="00B82B9C"/>
    <w:rsid w:val="00C0059C"/>
    <w:rsid w:val="00C87220"/>
    <w:rsid w:val="00CA5CBE"/>
    <w:rsid w:val="00D13D48"/>
    <w:rsid w:val="00D55748"/>
    <w:rsid w:val="00D61A9C"/>
    <w:rsid w:val="00D62DBE"/>
    <w:rsid w:val="00DA5B52"/>
    <w:rsid w:val="00DC2D25"/>
    <w:rsid w:val="00E53666"/>
    <w:rsid w:val="00EB1C2C"/>
    <w:rsid w:val="00F0207E"/>
    <w:rsid w:val="00F66D44"/>
    <w:rsid w:val="00F74FA4"/>
    <w:rsid w:val="00FF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CE813"/>
  <w15:chartTrackingRefBased/>
  <w15:docId w15:val="{EC30BA32-6740-4349-A95C-9587511C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2708"/>
    <w:pPr>
      <w:spacing w:after="0" w:line="240" w:lineRule="auto"/>
    </w:pPr>
    <w:rPr>
      <w:rFonts w:ascii="Calibri" w:hAnsi="Calibri" w:cs="Calibri"/>
      <w:sz w:val="22"/>
      <w:lang w:val="nl-NL"/>
    </w:rPr>
  </w:style>
  <w:style w:type="paragraph" w:styleId="Kop2">
    <w:name w:val="heading 2"/>
    <w:basedOn w:val="Standaard"/>
    <w:next w:val="Standaard"/>
    <w:link w:val="Kop2Char"/>
    <w:uiPriority w:val="9"/>
    <w:unhideWhenUsed/>
    <w:qFormat/>
    <w:rsid w:val="006573B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ableParagraph">
    <w:name w:val="Table Paragraph"/>
    <w:basedOn w:val="Standaard"/>
    <w:uiPriority w:val="1"/>
    <w:qFormat/>
    <w:rsid w:val="00962708"/>
    <w:pPr>
      <w:widowControl w:val="0"/>
      <w:autoSpaceDE w:val="0"/>
      <w:autoSpaceDN w:val="0"/>
    </w:pPr>
    <w:rPr>
      <w:rFonts w:ascii="Verdana" w:eastAsia="Verdana" w:hAnsi="Verdana" w:cs="Verdana"/>
    </w:rPr>
  </w:style>
  <w:style w:type="table" w:styleId="Tabelraster">
    <w:name w:val="Table Grid"/>
    <w:basedOn w:val="Standaardtabel"/>
    <w:uiPriority w:val="39"/>
    <w:rsid w:val="009627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62708"/>
    <w:pPr>
      <w:widowControl w:val="0"/>
      <w:autoSpaceDE w:val="0"/>
      <w:autoSpaceDN w:val="0"/>
      <w:spacing w:after="0" w:line="240" w:lineRule="auto"/>
    </w:pPr>
    <w:rPr>
      <w:rFonts w:asciiTheme="minorHAnsi" w:hAnsiTheme="minorHAnsi"/>
      <w:sz w:val="22"/>
    </w:rPr>
    <w:tblPr>
      <w:tblCellMar>
        <w:top w:w="0" w:type="dxa"/>
        <w:left w:w="0" w:type="dxa"/>
        <w:bottom w:w="0" w:type="dxa"/>
        <w:right w:w="0" w:type="dxa"/>
      </w:tblCellMar>
    </w:tblPr>
  </w:style>
  <w:style w:type="paragraph" w:customStyle="1" w:styleId="Default">
    <w:name w:val="Default"/>
    <w:rsid w:val="004958FB"/>
    <w:pPr>
      <w:autoSpaceDE w:val="0"/>
      <w:autoSpaceDN w:val="0"/>
      <w:adjustRightInd w:val="0"/>
      <w:spacing w:after="0" w:line="240" w:lineRule="auto"/>
    </w:pPr>
    <w:rPr>
      <w:rFonts w:ascii="RijksoverheidSansText" w:hAnsi="RijksoverheidSansText" w:cs="RijksoverheidSansText"/>
      <w:color w:val="000000"/>
      <w:sz w:val="24"/>
      <w:szCs w:val="24"/>
      <w:lang w:val="nl-NL"/>
    </w:rPr>
  </w:style>
  <w:style w:type="character" w:customStyle="1" w:styleId="A8">
    <w:name w:val="A8"/>
    <w:uiPriority w:val="99"/>
    <w:rsid w:val="004958FB"/>
    <w:rPr>
      <w:rFonts w:cs="RijksoverheidSansText"/>
      <w:color w:val="00558D"/>
      <w:sz w:val="16"/>
      <w:szCs w:val="16"/>
      <w:u w:val="single"/>
    </w:rPr>
  </w:style>
  <w:style w:type="character" w:customStyle="1" w:styleId="A6">
    <w:name w:val="A6"/>
    <w:uiPriority w:val="99"/>
    <w:rsid w:val="004958FB"/>
    <w:rPr>
      <w:rFonts w:cs="RijksoverheidSansText"/>
      <w:color w:val="000000"/>
      <w:sz w:val="16"/>
      <w:szCs w:val="16"/>
    </w:rPr>
  </w:style>
  <w:style w:type="character" w:customStyle="1" w:styleId="Kop2Char">
    <w:name w:val="Kop 2 Char"/>
    <w:basedOn w:val="Standaardalinea-lettertype"/>
    <w:link w:val="Kop2"/>
    <w:uiPriority w:val="9"/>
    <w:rsid w:val="006573B2"/>
    <w:rPr>
      <w:rFonts w:asciiTheme="majorHAnsi" w:eastAsiaTheme="majorEastAsia" w:hAnsiTheme="majorHAnsi" w:cstheme="majorBidi"/>
      <w:color w:val="2E74B5" w:themeColor="accent1" w:themeShade="BF"/>
      <w:sz w:val="26"/>
      <w:szCs w:val="26"/>
      <w:lang w:val="nl-NL"/>
    </w:rPr>
  </w:style>
  <w:style w:type="paragraph" w:styleId="Revisie">
    <w:name w:val="Revision"/>
    <w:hidden/>
    <w:uiPriority w:val="99"/>
    <w:semiHidden/>
    <w:rsid w:val="00045234"/>
    <w:pPr>
      <w:spacing w:after="0" w:line="240" w:lineRule="auto"/>
    </w:pPr>
    <w:rPr>
      <w:rFonts w:ascii="Calibri" w:hAnsi="Calibri" w:cs="Calibri"/>
      <w:sz w:val="22"/>
      <w:lang w:val="nl-NL"/>
    </w:rPr>
  </w:style>
  <w:style w:type="character" w:styleId="Verwijzingopmerking">
    <w:name w:val="annotation reference"/>
    <w:basedOn w:val="Standaardalinea-lettertype"/>
    <w:uiPriority w:val="99"/>
    <w:semiHidden/>
    <w:unhideWhenUsed/>
    <w:rsid w:val="00884C7F"/>
    <w:rPr>
      <w:sz w:val="16"/>
      <w:szCs w:val="16"/>
    </w:rPr>
  </w:style>
  <w:style w:type="paragraph" w:styleId="Tekstopmerking">
    <w:name w:val="annotation text"/>
    <w:basedOn w:val="Standaard"/>
    <w:link w:val="TekstopmerkingChar"/>
    <w:uiPriority w:val="99"/>
    <w:unhideWhenUsed/>
    <w:rsid w:val="00884C7F"/>
    <w:rPr>
      <w:sz w:val="20"/>
      <w:szCs w:val="20"/>
    </w:rPr>
  </w:style>
  <w:style w:type="character" w:customStyle="1" w:styleId="TekstopmerkingChar">
    <w:name w:val="Tekst opmerking Char"/>
    <w:basedOn w:val="Standaardalinea-lettertype"/>
    <w:link w:val="Tekstopmerking"/>
    <w:uiPriority w:val="99"/>
    <w:rsid w:val="00884C7F"/>
    <w:rPr>
      <w:rFonts w:ascii="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884C7F"/>
    <w:rPr>
      <w:b/>
      <w:bCs/>
    </w:rPr>
  </w:style>
  <w:style w:type="character" w:customStyle="1" w:styleId="OnderwerpvanopmerkingChar">
    <w:name w:val="Onderwerp van opmerking Char"/>
    <w:basedOn w:val="TekstopmerkingChar"/>
    <w:link w:val="Onderwerpvanopmerking"/>
    <w:uiPriority w:val="99"/>
    <w:semiHidden/>
    <w:rsid w:val="00884C7F"/>
    <w:rPr>
      <w:rFonts w:ascii="Calibri" w:hAnsi="Calibri" w:cs="Calibri"/>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1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405</ap:Words>
  <ap:Characters>2233</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2025-10-17T16:03:00.0000000Z</dcterms:created>
  <dcterms:modified xsi:type="dcterms:W3CDTF">2025-10-17T16:03:00.0000000Z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2024-01-31T14:18:55Z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eee43427-8616-43b2-a757-e3d88f857215</vt:lpwstr>
  </property>
  <property fmtid="{D5CDD505-2E9C-101B-9397-08002B2CF9AE}" pid="8" name="MSIP_Label_b2aa6e22-2c82-48c6-bf24-1790f4b9c128_ContentBits">
    <vt:lpwstr>0</vt:lpwstr>
  </property>
</Properties>
</file>