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2025Z19150</w:t>
        <w:br/>
      </w:r>
      <w:proofErr w:type="spellEnd"/>
    </w:p>
    <w:p>
      <w:pPr>
        <w:pStyle w:val="Normal"/>
        <w:rPr>
          <w:b w:val="1"/>
          <w:bCs w:val="1"/>
        </w:rPr>
      </w:pPr>
      <w:r w:rsidR="250AE766">
        <w:rPr>
          <w:b w:val="0"/>
          <w:bCs w:val="0"/>
        </w:rPr>
        <w:t>(ingezonden 21 oktober 2025)</w:t>
        <w:br/>
      </w:r>
    </w:p>
    <w:p>
      <w:r>
        <w:t xml:space="preserve">Vragen van het lid Welzijn (Nieuw Sociaal Contract) aan de minister van Volkshuisvesting en Ruimtelijke Ordening over hospitaverhuur en het Huurregister</w:t>
      </w:r>
      <w:r>
        <w:br/>
      </w:r>
    </w:p>
    <w:p>
      <w:r>
        <w:t xml:space="preserve"> </w:t>
      </w:r>
      <w:r>
        <w:br/>
      </w:r>
    </w:p>
    <w:p>
      <w:pPr>
        <w:pStyle w:val="ListParagraph"/>
        <w:numPr>
          <w:ilvl w:val="0"/>
          <w:numId w:val="100489030"/>
        </w:numPr>
        <w:ind w:left="360"/>
      </w:pPr>
      <w:r>
        <w:t xml:space="preserve">Herinnert u zich dat u eerder toezegde de Kamer voor de zomer van 2025 het wetsvoorstel voor hospitaverhuur toe te sturen, maar dat dit nu opnieuw is verschoven naar voorjaar 2026? 1)</w:t>
      </w:r>
      <w:r>
        <w:br/>
      </w:r>
    </w:p>
    <w:p>
      <w:pPr>
        <w:pStyle w:val="ListParagraph"/>
        <w:numPr>
          <w:ilvl w:val="0"/>
          <w:numId w:val="100489030"/>
        </w:numPr>
        <w:ind w:left="360"/>
      </w:pPr>
      <w:r>
        <w:t xml:space="preserve">Kunt u exact aangeven op welke data deze toezeggingen zijn gedaan en welke interne of externe factoren telkens tot uitstel hebben geleid?</w:t>
      </w:r>
      <w:r>
        <w:br/>
      </w:r>
    </w:p>
    <w:p>
      <w:pPr>
        <w:pStyle w:val="ListParagraph"/>
        <w:numPr>
          <w:ilvl w:val="0"/>
          <w:numId w:val="100489030"/>
        </w:numPr>
        <w:ind w:left="360"/>
      </w:pPr>
      <w:r>
        <w:t xml:space="preserve">Kunt u concreet benoemen welke departementen of organisaties vertraging veroorzaken, en waarom deze afstemming niet parallel aan het wetgevingsproces kon plaatsvinden?</w:t>
      </w:r>
      <w:r>
        <w:br/>
      </w:r>
    </w:p>
    <w:p>
      <w:pPr>
        <w:pStyle w:val="ListParagraph"/>
        <w:numPr>
          <w:ilvl w:val="0"/>
          <w:numId w:val="100489030"/>
        </w:numPr>
        <w:ind w:left="360"/>
      </w:pPr>
      <w:r>
        <w:t xml:space="preserve">Bent u bereid tijdschema’s per overlegstroom openbaar te maken zodat inzichtelijk wordt waar de stagnatie precies zit?</w:t>
      </w:r>
      <w:r>
        <w:br/>
      </w:r>
    </w:p>
    <w:p>
      <w:pPr>
        <w:pStyle w:val="ListParagraph"/>
        <w:numPr>
          <w:ilvl w:val="0"/>
          <w:numId w:val="100489030"/>
        </w:numPr>
        <w:ind w:left="360"/>
      </w:pPr>
      <w:r>
        <w:t xml:space="preserve">Klopt het dat het conceptwetsvoorstel al in internetconsultatie is geweest?</w:t>
      </w:r>
      <w:r>
        <w:br/>
      </w:r>
    </w:p>
    <w:p>
      <w:pPr>
        <w:pStyle w:val="ListParagraph"/>
        <w:numPr>
          <w:ilvl w:val="0"/>
          <w:numId w:val="100489030"/>
        </w:numPr>
        <w:ind w:left="360"/>
      </w:pPr>
      <w:r>
        <w:t xml:space="preserve">Hoeveel reacties zijn er ontvangen, van wie, en op welke punten vereisen die inhoudelijke herziening?</w:t>
      </w:r>
      <w:r>
        <w:br/>
      </w:r>
    </w:p>
    <w:p>
      <w:pPr>
        <w:pStyle w:val="ListParagraph"/>
        <w:numPr>
          <w:ilvl w:val="0"/>
          <w:numId w:val="100489030"/>
        </w:numPr>
        <w:ind w:left="360"/>
      </w:pPr>
      <w:r>
        <w:t xml:space="preserve">Wanneer is het ter advies voorleggen aan de Raad van State voorzien en wat zijn de nog resterende stappen met bijbehorende termijnen?</w:t>
      </w:r>
      <w:r>
        <w:br/>
      </w:r>
    </w:p>
    <w:p>
      <w:pPr>
        <w:pStyle w:val="ListParagraph"/>
        <w:numPr>
          <w:ilvl w:val="0"/>
          <w:numId w:val="100489030"/>
        </w:numPr>
        <w:ind w:left="360"/>
      </w:pPr>
      <w:r>
        <w:t xml:space="preserve">Waarom wordt in de beslisnota (25 september 2025) opnieuw gesteld dat een huurregister “begin 2026 op zijn vroegst haalbaar” is, terwijl de eerdere toezegging (brief 9 april 2025) sprak over tweede helft 2025?</w:t>
      </w:r>
      <w:r>
        <w:br/>
      </w:r>
    </w:p>
    <w:p>
      <w:pPr>
        <w:pStyle w:val="ListParagraph"/>
        <w:numPr>
          <w:ilvl w:val="0"/>
          <w:numId w:val="100489030"/>
        </w:numPr>
        <w:ind w:left="360"/>
      </w:pPr>
      <w:r>
        <w:t xml:space="preserve">Bent u bereid een deelbaar stappenplan te publiceren met concrete deadlines voor: het gereedkomen van de scenario’s voor het huurregister, de internetconsultatie, de indiening van het wetsvoorstel, de geplande inwerkingtreding? Zo nee, waarom niet?</w:t>
      </w:r>
      <w:r>
        <w:br/>
      </w:r>
    </w:p>
    <w:p>
      <w:pPr>
        <w:pStyle w:val="ListParagraph"/>
        <w:numPr>
          <w:ilvl w:val="0"/>
          <w:numId w:val="100489030"/>
        </w:numPr>
        <w:ind w:left="360"/>
      </w:pPr>
      <w:r>
        <w:t xml:space="preserve">Kunt u zich herinneren dat u hebt erkend dat een huurregister “de rechtsbescherming en gelijkwaardigheid tussen huurder en verhuurder vergroot” en dat het “dienst Toeslagen, de Belastingdienst en gemeenten ondersteunt bij toezicht”? Hoe verantwoordt u dan dat u juist deze maatregel zo laat oppakt dat pas na 2026 een effect kan optreden, terwijl de misstanden zich nú voordoen?</w:t>
      </w:r>
      <w:r>
        <w:br/>
      </w:r>
    </w:p>
    <w:p>
      <w:pPr>
        <w:pStyle w:val="ListParagraph"/>
        <w:numPr>
          <w:ilvl w:val="0"/>
          <w:numId w:val="100489030"/>
        </w:numPr>
        <w:ind w:left="360"/>
      </w:pPr>
      <w:r>
        <w:t xml:space="preserve">Klopt het dat er naar schatting 100.000 kamers vrij zouden kunnen komen door hospitaverhuur, waarvan 37% in de huursector en 63% in de koopsector?</w:t>
      </w:r>
      <w:r>
        <w:br/>
      </w:r>
    </w:p>
    <w:p>
      <w:pPr>
        <w:pStyle w:val="ListParagraph"/>
        <w:numPr>
          <w:ilvl w:val="0"/>
          <w:numId w:val="100489030"/>
        </w:numPr>
        <w:ind w:left="360"/>
      </w:pPr>
      <w:r>
        <w:t xml:space="preserve">Hoeveel van deze potentie blijft onbenut door het uitblijven van de wet?</w:t>
      </w:r>
      <w:r>
        <w:br/>
      </w:r>
    </w:p>
    <w:p>
      <w:pPr>
        <w:pStyle w:val="ListParagraph"/>
        <w:numPr>
          <w:ilvl w:val="0"/>
          <w:numId w:val="100489030"/>
        </w:numPr>
        <w:ind w:left="360"/>
      </w:pPr>
      <w:r>
        <w:t xml:space="preserve">Welke concrete maatschappelijke kosten zijn verbonden aan deze vertraging?</w:t>
      </w:r>
      <w:r>
        <w:br/>
      </w:r>
    </w:p>
    <w:p>
      <w:pPr>
        <w:pStyle w:val="ListParagraph"/>
        <w:numPr>
          <w:ilvl w:val="0"/>
          <w:numId w:val="100489030"/>
        </w:numPr>
        <w:ind w:left="360"/>
      </w:pPr>
      <w:r>
        <w:t xml:space="preserve">Bent u bereid om de onderdelen van het wetsvoorstel gefaseerd in werking te laten treden, bijvoorbeeld direct al de tijdelijke contracten voor hospitaverhuur zodat woningzoekenden al in 2025 profiteren van meer aanbod? Zo niet, waarom niet?</w:t>
      </w:r>
      <w:r>
        <w:br/>
      </w:r>
    </w:p>
    <w:p>
      <w:pPr>
        <w:pStyle w:val="ListParagraph"/>
        <w:numPr>
          <w:ilvl w:val="0"/>
          <w:numId w:val="100489030"/>
        </w:numPr>
        <w:ind w:left="360"/>
      </w:pPr>
      <w:r>
        <w:t xml:space="preserve">Bent u bereid om – in lijn met de oproep van lid Welzijn – nog dit jaar (2025) beide voorstellen aan de Kamer te sturen, desnoods als voorontwerp of kaderwet, zodat de behandeling direct aan het begin van 2026 kan plaatsvinden?</w:t>
      </w:r>
      <w:r>
        <w:br/>
      </w:r>
    </w:p>
    <w:p>
      <w:pPr>
        <w:pStyle w:val="ListParagraph"/>
        <w:numPr>
          <w:ilvl w:val="0"/>
          <w:numId w:val="100489030"/>
        </w:numPr>
        <w:ind w:left="360"/>
      </w:pPr>
      <w:r>
        <w:t xml:space="preserve">Erkent u dat het herhaaldelijk uitstellen van deze wetgeving het beeld versterkt dat het ministerie gebrek aan urgentiebesef toont op twee cruciale onderwerpen voor de volkshuisvesting?</w:t>
      </w:r>
      <w:r>
        <w:br/>
      </w:r>
    </w:p>
    <w:p>
      <w:pPr>
        <w:pStyle w:val="ListParagraph"/>
        <w:numPr>
          <w:ilvl w:val="0"/>
          <w:numId w:val="100489030"/>
        </w:numPr>
        <w:ind w:left="360"/>
      </w:pPr>
      <w:r>
        <w:t xml:space="preserve">Hoe gaat u het vertrouwen van de Kamer en woningzoekenden hierin herstellen?</w:t>
      </w:r>
      <w:r>
        <w:br/>
      </w:r>
    </w:p>
    <w:p>
      <w:pPr>
        <w:pStyle w:val="ListParagraph"/>
        <w:numPr>
          <w:ilvl w:val="0"/>
          <w:numId w:val="100489030"/>
        </w:numPr>
        <w:ind w:left="360"/>
      </w:pPr>
      <w:r>
        <w:t xml:space="preserve">Kunt u deze vragen één voor één beantwoorden?</w:t>
      </w:r>
      <w:r>
        <w:br/>
      </w:r>
    </w:p>
    <w:p>
      <w:r>
        <w:t xml:space="preserve"> </w:t>
      </w:r>
      <w:r>
        <w:br/>
      </w:r>
    </w:p>
    <w:p>
      <w:r>
        <w:t xml:space="preserve">1) Naar aanleiding van antwoorden op Kamervragen van het lid Welzijn (NSC), Aanhangsel van de Handelingen, vergaderjaar 2025-2026, nr. 229.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0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010">
    <w:abstractNumId w:val="1004890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