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2025Z19208</w:t>
        <w:br/>
      </w:r>
      <w:proofErr w:type="spellEnd"/>
    </w:p>
    <w:p>
      <w:pPr>
        <w:pStyle w:val="Normal"/>
        <w:rPr>
          <w:b w:val="1"/>
          <w:bCs w:val="1"/>
        </w:rPr>
      </w:pPr>
      <w:r w:rsidR="250AE766">
        <w:rPr>
          <w:b w:val="0"/>
          <w:bCs w:val="0"/>
        </w:rPr>
        <w:t>(ingezonden 24 oktober 2025)</w:t>
        <w:br/>
      </w:r>
    </w:p>
    <w:p>
      <w:r>
        <w:t xml:space="preserve">Vragen van de leden Gabriëls, Thijssen, Kröger (allen GroenLinks-PvdA), Kostić en Teunissen (beiden PvdD) aan minister van Klimaat en Groene Groei en de staatssecretaris van Infrastructuur en Waterstaat over de Joint Letter of Intent met Tata Steel, de fors hogere uitstoot van Tata Steel, staalslakken en de forse salarisverhogingen van directieleden bij Tata Steel</w:t>
      </w:r>
      <w:r>
        <w:br/>
      </w:r>
    </w:p>
    <w:p>
      <w:r>
        <w:t xml:space="preserve"> </w:t>
      </w:r>
      <w:r>
        <w:br/>
      </w:r>
    </w:p>
    <w:p>
      <w:pPr>
        <w:pStyle w:val="ListParagraph"/>
        <w:numPr>
          <w:ilvl w:val="0"/>
          <w:numId w:val="100489140"/>
        </w:numPr>
        <w:ind w:left="360"/>
      </w:pPr>
      <w:r>
        <w:t xml:space="preserve">Bent u bekend met het bericht ‘Omgevingsdienst ziet fors hogere uitstoot Tata Steel in 2024'[1]?</w:t>
      </w:r>
      <w:r>
        <w:br/>
      </w:r>
    </w:p>
    <w:p>
      <w:pPr>
        <w:pStyle w:val="ListParagraph"/>
        <w:numPr>
          <w:ilvl w:val="0"/>
          <w:numId w:val="100489140"/>
        </w:numPr>
        <w:ind w:left="360"/>
      </w:pPr>
      <w:r>
        <w:t xml:space="preserve">Wat vindt u ervan dat Tata Steel Nederland (TSN) vorig jaar van meerdere stoffen significant meer heeft uitgestoten dan de jaren ervoor? Wat verklaart exact de toename van de uitstoot van benzeen, lood, nikkel en zink?  </w:t>
      </w:r>
      <w:r>
        <w:br/>
      </w:r>
    </w:p>
    <w:p>
      <w:pPr>
        <w:pStyle w:val="ListParagraph"/>
        <w:numPr>
          <w:ilvl w:val="0"/>
          <w:numId w:val="100489140"/>
        </w:numPr>
        <w:ind w:left="360"/>
      </w:pPr>
      <w:r>
        <w:t xml:space="preserve">In hoeverre is deze hogere uitstoot te wijten aan het feit dat de uitstootmeting van beide kooksgasfabrieken is meegenomen in 2024?</w:t>
      </w:r>
      <w:r>
        <w:br/>
      </w:r>
    </w:p>
    <w:p>
      <w:pPr>
        <w:pStyle w:val="ListParagraph"/>
        <w:numPr>
          <w:ilvl w:val="0"/>
          <w:numId w:val="100489140"/>
        </w:numPr>
        <w:ind w:left="360"/>
      </w:pPr>
      <w:r>
        <w:t xml:space="preserve">Wat betekenen deze resultaten voor de aanzeggingsprocedure van de provincie? Klopt de aanname dat de overtredingen bij de Kooksgasfabriek 2 niet zijn beëindigd en dat intrekking van de vergunning een stap dichterbij is gekomen?</w:t>
      </w:r>
      <w:r>
        <w:br/>
      </w:r>
    </w:p>
    <w:p>
      <w:pPr>
        <w:pStyle w:val="ListParagraph"/>
        <w:numPr>
          <w:ilvl w:val="0"/>
          <w:numId w:val="100489140"/>
        </w:numPr>
        <w:ind w:left="360"/>
      </w:pPr>
      <w:r>
        <w:t xml:space="preserve">Wat betekent de grotere uitstoot van grotendeels zeer zorgwekkende stoffen voor de gezondheid van omwonenden?</w:t>
      </w:r>
      <w:r>
        <w:br/>
      </w:r>
    </w:p>
    <w:p>
      <w:pPr>
        <w:pStyle w:val="ListParagraph"/>
        <w:numPr>
          <w:ilvl w:val="0"/>
          <w:numId w:val="100489140"/>
        </w:numPr>
        <w:ind w:left="360"/>
      </w:pPr>
      <w:r>
        <w:t xml:space="preserve">Waren deze cijfers al bekend toen de Joint Letter of Intent (JLoI) met TSN werd ondertekend?</w:t>
      </w:r>
      <w:r>
        <w:br/>
      </w:r>
    </w:p>
    <w:p>
      <w:pPr>
        <w:pStyle w:val="ListParagraph"/>
        <w:numPr>
          <w:ilvl w:val="0"/>
          <w:numId w:val="100489140"/>
        </w:numPr>
        <w:ind w:left="360"/>
      </w:pPr>
      <w:r>
        <w:t xml:space="preserve">Wat is er met het advies “Geef meer duidelijkheid over de effecten van de transitie op emissie van de zeer zorgwekkende stoffen en neem de doelstellingen in het advies van de Expertgroep over” van de Expertgroep Gezondheid IJmond gedaan?</w:t>
      </w:r>
      <w:r>
        <w:br/>
      </w:r>
    </w:p>
    <w:p>
      <w:pPr>
        <w:pStyle w:val="ListParagraph"/>
        <w:numPr>
          <w:ilvl w:val="0"/>
          <w:numId w:val="100489140"/>
        </w:numPr>
        <w:ind w:left="360"/>
      </w:pPr>
      <w:r>
        <w:t xml:space="preserve">Waarom is het advies van de Expertgroep Gezondheid IJmond om een reductie van 90% voor Polycyclische Aromatische Koolwaterstoffen (PAK’s), benzeen en een selectie aan metalen op te nemen niet opgenomen in de JLoI, terwijl dit volgens de expertgroep zorgt voor een grote verlaging van gezondheidsrisico’s? Kunt u deze keuze onderbouwen zonder dat de gezondheidseffectrapportage is afgerond?</w:t>
      </w:r>
      <w:r>
        <w:br/>
      </w:r>
    </w:p>
    <w:p>
      <w:pPr>
        <w:pStyle w:val="ListParagraph"/>
        <w:numPr>
          <w:ilvl w:val="0"/>
          <w:numId w:val="100489140"/>
        </w:numPr>
        <w:ind w:left="360"/>
      </w:pPr>
      <w:r>
        <w:t xml:space="preserve">Bent u bekend met het artikel ‘Salaris van Tata-directie verdubbeld, terwijl medewerkers geen kerstpakket meer krijgen?’[2]</w:t>
      </w:r>
      <w:r>
        <w:br/>
      </w:r>
    </w:p>
    <w:p>
      <w:pPr>
        <w:pStyle w:val="ListParagraph"/>
        <w:numPr>
          <w:ilvl w:val="0"/>
          <w:numId w:val="100489140"/>
        </w:numPr>
        <w:ind w:left="360"/>
      </w:pPr>
      <w:r>
        <w:t xml:space="preserve">Wat vindt u van dit nieuws?</w:t>
      </w:r>
      <w:r>
        <w:br/>
      </w:r>
    </w:p>
    <w:p>
      <w:pPr>
        <w:pStyle w:val="ListParagraph"/>
        <w:numPr>
          <w:ilvl w:val="0"/>
          <w:numId w:val="100489140"/>
        </w:numPr>
        <w:ind w:left="360"/>
      </w:pPr>
      <w:r>
        <w:t xml:space="preserve">Vindt u het eerlijk dat de salarissen van de directie van TSN omhoog zijn gegaan terwijl er op de werkvloer op kerstpakketten, overwerkmaaltijden en koffie wordt bezuinigd?</w:t>
      </w:r>
      <w:r>
        <w:br/>
      </w:r>
    </w:p>
    <w:p>
      <w:pPr>
        <w:pStyle w:val="ListParagraph"/>
        <w:numPr>
          <w:ilvl w:val="0"/>
          <w:numId w:val="100489140"/>
        </w:numPr>
        <w:ind w:left="360"/>
      </w:pPr>
      <w:r>
        <w:t xml:space="preserve">Wat vindt u ervan dat de directie hogere salarissen krijgen, terwijl eerder dit jaar diezelfde directieplannen bekend maakte om één op de vijf werknemers te ontslaan?</w:t>
      </w:r>
      <w:r>
        <w:br/>
      </w:r>
    </w:p>
    <w:p>
      <w:pPr>
        <w:pStyle w:val="ListParagraph"/>
        <w:numPr>
          <w:ilvl w:val="0"/>
          <w:numId w:val="100489140"/>
        </w:numPr>
        <w:ind w:left="360"/>
      </w:pPr>
      <w:r>
        <w:t xml:space="preserve">Wat ziet u als een gepaste beloning voor de bedijfsleiding, zoals dat in de JLoI is geformuleerd, en vallen de huidige bonussen in die range?</w:t>
      </w:r>
      <w:r>
        <w:br/>
      </w:r>
    </w:p>
    <w:p>
      <w:pPr>
        <w:pStyle w:val="ListParagraph"/>
        <w:numPr>
          <w:ilvl w:val="0"/>
          <w:numId w:val="100489140"/>
        </w:numPr>
        <w:ind w:left="360"/>
      </w:pPr>
      <w:r>
        <w:t xml:space="preserve">Bent u bekend met het bericht ‘Staalslakken op veel meer plekken gevonden: aantal locaties bijna verdubbeld’[3]?</w:t>
      </w:r>
      <w:r>
        <w:br/>
      </w:r>
    </w:p>
    <w:p>
      <w:pPr>
        <w:pStyle w:val="ListParagraph"/>
        <w:numPr>
          <w:ilvl w:val="0"/>
          <w:numId w:val="100489140"/>
        </w:numPr>
        <w:ind w:left="360"/>
      </w:pPr>
      <w:r>
        <w:t xml:space="preserve">Klopt het dat op zeker 216 plekken in Nederland staalslakken zijn gebruikt? Was u bekend met elk van deze gevallen? Hoeveel locaties verwacht u dat er nog meer boven water komen? Bent u dit volledig in kaart aan het brengen?</w:t>
      </w:r>
      <w:r>
        <w:br/>
      </w:r>
    </w:p>
    <w:p>
      <w:pPr>
        <w:pStyle w:val="ListParagraph"/>
        <w:numPr>
          <w:ilvl w:val="0"/>
          <w:numId w:val="100489140"/>
        </w:numPr>
        <w:ind w:left="360"/>
      </w:pPr>
      <w:r>
        <w:t xml:space="preserve">Wat vindt u ervan dat sommige gemeenten, zoals Muiden, Amstelveen, Texel, Den Haag en Heusden, al proactief staalslakken hebben verwijderd, bijvoorbeeld bij paden of hofjes in woonwijken of in de buurt van speelplaatsen en scholen? Stimuleert u andere gemeenten om in dergelijke gevallen hetzelfde te doen? Hoe moeten gemeenten dit bekostigen?</w:t>
      </w:r>
      <w:r>
        <w:br/>
      </w:r>
    </w:p>
    <w:p>
      <w:pPr>
        <w:pStyle w:val="ListParagraph"/>
        <w:numPr>
          <w:ilvl w:val="0"/>
          <w:numId w:val="100489140"/>
        </w:numPr>
        <w:ind w:left="360"/>
      </w:pPr>
      <w:r>
        <w:t xml:space="preserve">Bent u voornemens om een saneringsplan op te stellen voor de plaatsen waar staalslakken het meest acute gevaar vormen? Bent u in gesprek met provincies en gemeenten die al maatregelen aan het nemen zijn?</w:t>
      </w:r>
      <w:r>
        <w:br/>
      </w:r>
    </w:p>
    <w:p>
      <w:pPr>
        <w:pStyle w:val="ListParagraph"/>
        <w:numPr>
          <w:ilvl w:val="0"/>
          <w:numId w:val="100489140"/>
        </w:numPr>
        <w:ind w:left="360"/>
      </w:pPr>
      <w:r>
        <w:t xml:space="preserve">Wanneer is het onderzoek van het Rijksinstituut voor Volksgezondheid en Milieu (RIVM) naar de veilige toepassingen van staalslakken afgerond? Deelt u de opvatting dat, gezien de schaal van dit probleem, er eerst onomstotelijk moet zijn vastgesteld dat de toepassingen veilig zijn en dat daarom een tijdelijk totaalverbod vanuit het voorzorgsprincipe de juiste weg is?</w:t>
      </w:r>
      <w:r>
        <w:br/>
      </w:r>
    </w:p>
    <w:p>
      <w:pPr>
        <w:pStyle w:val="ListParagraph"/>
        <w:numPr>
          <w:ilvl w:val="0"/>
          <w:numId w:val="100489140"/>
        </w:numPr>
        <w:ind w:left="360"/>
      </w:pPr>
      <w:r>
        <w:t xml:space="preserve">Wat gebeurt er met de staalslakken die naar de Baltische Staten geëxporteerd worden? Hoe worden ze daar toegepast?</w:t>
      </w:r>
      <w:r>
        <w:br/>
      </w:r>
    </w:p>
    <w:p>
      <w:pPr>
        <w:pStyle w:val="ListParagraph"/>
        <w:numPr>
          <w:ilvl w:val="0"/>
          <w:numId w:val="100489140"/>
        </w:numPr>
        <w:ind w:left="360"/>
      </w:pPr>
      <w:r>
        <w:t xml:space="preserve">Bent u bekend met het artikel ‘Waar komen verwijderde staalslakken terecht? ‘Geen zicht op’[4]?</w:t>
      </w:r>
      <w:r>
        <w:br/>
      </w:r>
    </w:p>
    <w:p>
      <w:pPr>
        <w:pStyle w:val="ListParagraph"/>
        <w:numPr>
          <w:ilvl w:val="0"/>
          <w:numId w:val="100489140"/>
        </w:numPr>
        <w:ind w:left="360"/>
      </w:pPr>
      <w:r>
        <w:t xml:space="preserve">Klopt het dat er geen zicht op is waar verwijderde staalslakken terechtkomen?</w:t>
      </w:r>
      <w:r>
        <w:br/>
      </w:r>
    </w:p>
    <w:p>
      <w:pPr>
        <w:pStyle w:val="ListParagraph"/>
        <w:numPr>
          <w:ilvl w:val="0"/>
          <w:numId w:val="100489140"/>
        </w:numPr>
        <w:ind w:left="360"/>
      </w:pPr>
      <w:r>
        <w:t xml:space="preserve">Gaat u dit inzichtelijk brengen om te voorkomen dat de problemen steeds verplaatst worden?</w:t>
      </w:r>
      <w:r>
        <w:br/>
      </w:r>
    </w:p>
    <w:p>
      <w:pPr>
        <w:pStyle w:val="ListParagraph"/>
        <w:numPr>
          <w:ilvl w:val="0"/>
          <w:numId w:val="100489140"/>
        </w:numPr>
        <w:ind w:left="360"/>
      </w:pPr>
      <w:r>
        <w:t xml:space="preserve">Kunt u nogmaals uiteenzetten hoe het precies zit met de ontbindende voorwaarden die in de JLoI  over staalslakken zijn opgenomen? Waarom zei u tijdens het commissiedebat Leefomgeving en externe veiligheid dat deze voorwaarden er niet toe leidt het kabinet zich terughoudend zal opstellen ten opzichte van staalslakken?</w:t>
      </w:r>
      <w:r>
        <w:br/>
      </w:r>
    </w:p>
    <w:p>
      <w:pPr>
        <w:pStyle w:val="ListParagraph"/>
        <w:numPr>
          <w:ilvl w:val="0"/>
          <w:numId w:val="100489140"/>
        </w:numPr>
        <w:ind w:left="360"/>
      </w:pPr>
      <w:r>
        <w:t xml:space="preserve">Kunt u toelichten wat artikel 15, vierde lid, van de JLoI over de CO2-heffing en staalslakken precies betekent voor toekomstig beleid op deze terreinen? Wat zou een verhoging van de CO2-heffing (juridisch) betekenen voor de maatwerkafspraken? Wat zou een totaalverbod op staalslakken betekenen voor de maatwerkafspraken?</w:t>
      </w:r>
      <w:r>
        <w:br/>
      </w:r>
    </w:p>
    <w:p>
      <w:pPr>
        <w:pStyle w:val="ListParagraph"/>
        <w:numPr>
          <w:ilvl w:val="0"/>
          <w:numId w:val="100489140"/>
        </w:numPr>
        <w:ind w:left="360"/>
      </w:pPr>
      <w:r>
        <w:t xml:space="preserve">Klopt het dat er met artikel 15, vierde lid 4, feitelijk afspraken gemaakt worden die gaan gelden voor alle bedrijven in Nederland? Waarom levert u op deze aspecten geen maatwerkmaatregelen, bijvoorbeeld op de manier zoals beschreven in de aangenomen motie-Thijssen (Kamerstuk 29826, nr. 236)?</w:t>
      </w:r>
      <w:r>
        <w:rPr>
          <w:i w:val="1"/>
          <w:iCs w:val="1"/>
        </w:rPr>
        <w:t xml:space="preserve"> </w:t>
      </w:r>
      <w:r>
        <w:rPr/>
        <w:t xml:space="preserve">Bent u het ermee eens dat deze bepaling in artikel 15, vierde lid, betekent dat bedrijven die bij u hebben aangegeven niet verder te willen praten over verduurzaming wel dit belastingvoordeel (het afschaffen van de CO2-heffing) krijgen?</w:t>
      </w:r>
      <w:r>
        <w:br/>
      </w:r>
    </w:p>
    <w:p>
      <w:pPr>
        <w:pStyle w:val="ListParagraph"/>
        <w:numPr>
          <w:ilvl w:val="0"/>
          <w:numId w:val="100489140"/>
        </w:numPr>
        <w:ind w:left="360"/>
      </w:pPr>
      <w:r>
        <w:t xml:space="preserve">Kunt u exact uiteenzetten welke maatregelen u aanvullend heeft genomen na het advies van Arbeid, Mens, Verzuim en Inzetbaarheid (AMVI) in samenwerking met de Expertgroep Gezondheid IJmond en welke adviezen u specifiek niet heeft overgenomen? Kunt u in een overzicht ingaan op wat u met elk van de adviezen en aanbevelingen uit het AMVI-advies heeft gedaan?</w:t>
      </w:r>
      <w:r>
        <w:br/>
      </w:r>
    </w:p>
    <w:p>
      <w:pPr>
        <w:pStyle w:val="ListParagraph"/>
        <w:numPr>
          <w:ilvl w:val="0"/>
          <w:numId w:val="100489140"/>
        </w:numPr>
        <w:ind w:left="360"/>
      </w:pPr>
      <w:r>
        <w:t xml:space="preserve">Wat betekent het maximum subsidiebedrag van twee miljard euro door de Rijksoverheid? Betekent dit dat de eventuele meerkosten van de uitvoering van de adviezen van de gezondheidseffectrapportage (GER) per definitie voor de rekening van TSN zijn?</w:t>
      </w:r>
      <w:r>
        <w:br/>
      </w:r>
    </w:p>
    <w:p>
      <w:pPr>
        <w:pStyle w:val="ListParagraph"/>
        <w:numPr>
          <w:ilvl w:val="0"/>
          <w:numId w:val="100489140"/>
        </w:numPr>
        <w:ind w:left="360"/>
      </w:pPr>
      <w:r>
        <w:t xml:space="preserve">Waarom is het doel voor TSN om over te zijn op groene waterstof en biomethaan pas gesteld in 2047? Hoe verhoudt dit zich tot de deadline van de uitgifte van ETS-rechten die is gesteld in 2040? Hoe verhoudt zich dit tot aangenomen moties (Kamerstukken 29826, nrs. 186 en 187)?</w:t>
      </w:r>
      <w:r>
        <w:br/>
      </w:r>
    </w:p>
    <w:p>
      <w:pPr>
        <w:pStyle w:val="ListParagraph"/>
        <w:numPr>
          <w:ilvl w:val="0"/>
          <w:numId w:val="100489140"/>
        </w:numPr>
        <w:ind w:left="360"/>
      </w:pPr>
      <w:r>
        <w:t xml:space="preserve">Welke juridische waarborgen zitten er in de maatwerkafspraken om er zeker van te zijn dat TSN van aardgas over gaat op groene waterstof? Hoe wordt lock-in voorkomen?</w:t>
      </w:r>
      <w:r>
        <w:br/>
      </w:r>
    </w:p>
    <w:p>
      <w:pPr>
        <w:pStyle w:val="ListParagraph"/>
        <w:numPr>
          <w:ilvl w:val="0"/>
          <w:numId w:val="100489140"/>
        </w:numPr>
        <w:ind w:left="360"/>
      </w:pPr>
      <w:r>
        <w:t xml:space="preserve">Waarom wordt er ook ingezet op Carbon Capture &amp; Storage (CCS), naast de overgang van aardgas op groene waterstof? Is CCS nog nuttig als de fabriek overgaat op groene waterstof? Zo nee, betekent CCS dan niet een lock-in voor het maken van staal met aardgas?</w:t>
      </w:r>
      <w:r>
        <w:br/>
      </w:r>
    </w:p>
    <w:p>
      <w:pPr>
        <w:pStyle w:val="ListParagraph"/>
        <w:numPr>
          <w:ilvl w:val="0"/>
          <w:numId w:val="100489140"/>
        </w:numPr>
        <w:ind w:left="360"/>
      </w:pPr>
      <w:r>
        <w:t xml:space="preserve">Wat zijn de totale kosten om eerst 15 jaar lang staal te maken met aardgas en CCS  en daarna 15 jaar groen staal te gaan maken (met groene waterstof) in vergelijking met 30 jaar lang groen staal maken (met groene waterstof)? Kunt u bij dit antwoord werken met verschillende IEA en PBL-scenario’s voor de CO2-prijs, aardgasprijs, prijs van groene waterstof en prijs van CCS?</w:t>
      </w:r>
      <w:r>
        <w:br/>
      </w:r>
    </w:p>
    <w:p>
      <w:pPr>
        <w:pStyle w:val="ListParagraph"/>
        <w:numPr>
          <w:ilvl w:val="0"/>
          <w:numId w:val="100489140"/>
        </w:numPr>
        <w:ind w:left="360"/>
      </w:pPr>
      <w:r>
        <w:t xml:space="preserve">Waarom heeft u de aangenomen motie-Thijssen c.s. over de adviezen van de Expertgroep Gezondheid IJmond (Kamerstuk 28089, nr. 307) niet als harde voorwaarde opgenomen in de JLoI? Heeft u dit wel besproken met Tata? Wat was het antwoord van TSN? Wat zijn de kosten om deze adviezen wel op te volgen?</w:t>
      </w:r>
      <w:r>
        <w:br/>
      </w:r>
    </w:p>
    <w:p>
      <w:pPr>
        <w:pStyle w:val="ListParagraph"/>
        <w:numPr>
          <w:ilvl w:val="0"/>
          <w:numId w:val="100489140"/>
        </w:numPr>
        <w:ind w:left="360"/>
      </w:pPr>
      <w:r>
        <w:t xml:space="preserve">Wat is de uitstoot van alle schadelijke stoffen op dit moment en op basis van welke gegevens zijn de afspraken over emissiereductie in 2030 gemaakt? Zijn de metingen van deze emissies onafhankelijk gedaan? Kan het zijn, zoals in het eerdergenoemde artikel, dat later blijkt dat emissies toch weer hoger zijn? Zijn de door het RIVM gemeten deposities buiten het TSN-terrein verklaarbaar met de op dit moment bekende emissies? Zo nee, waar komt het verschil door?</w:t>
      </w:r>
      <w:r>
        <w:br/>
      </w:r>
    </w:p>
    <w:p>
      <w:pPr>
        <w:pStyle w:val="ListParagraph"/>
        <w:numPr>
          <w:ilvl w:val="0"/>
          <w:numId w:val="100489140"/>
        </w:numPr>
        <w:ind w:left="360"/>
      </w:pPr>
      <w:r>
        <w:t xml:space="preserve">Is er in de afspraken ook rekening gehouden met de waarschuwing van de Expertgroep Gezondheid IJmond dat de emissies in de bouwfase kunnen toenemen? Kunt u in een tabel aangeven wat de emissies en andere overlast jaarlijks gaat zijn van nu tot 2032?</w:t>
      </w:r>
      <w:r>
        <w:br/>
      </w:r>
    </w:p>
    <w:p>
      <w:pPr>
        <w:pStyle w:val="ListParagraph"/>
        <w:numPr>
          <w:ilvl w:val="0"/>
          <w:numId w:val="100489140"/>
        </w:numPr>
        <w:ind w:left="360"/>
      </w:pPr>
      <w:r>
        <w:t xml:space="preserve">Waarom gaat TSN verder onderzoek doen naar ultrafijnstof? Waarom is niet afgesproken dat het RIVM verder onderzoek gaat doen naar de uitstoot van ultrafijnstof? Waarom wordt de Expertgroep Gezondheid IJmond niet gevraagd om op basis van een eventueel RIVM-onderzoek naar fijnstof advies te geven over de gezondheidseffecten van fijnstof en hoe deze effecten te verminderen? Wordt fijnstof meegenomen in de GER?</w:t>
      </w:r>
      <w:r>
        <w:br/>
      </w:r>
    </w:p>
    <w:p>
      <w:pPr>
        <w:pStyle w:val="ListParagraph"/>
        <w:numPr>
          <w:ilvl w:val="0"/>
          <w:numId w:val="100489140"/>
        </w:numPr>
        <w:ind w:left="360"/>
      </w:pPr>
      <w:r>
        <w:t xml:space="preserve">Wat zijn de gezondheidseffecten van de schadelijke stoffen die nog wel uitgestoten mogen gaan worden? Wat is het cumulatieve gezondheidseffect van deze emissies? Kunt u dit weergeven in DALY’s (Disability Adjusted Life Years), zoals ook de Expertgroep Gezondheid IJmond doet? Hoe vergelijkt dit gezondheidseffect zich met een gemiddelde stad in Nederland?</w:t>
      </w:r>
      <w:r>
        <w:br/>
      </w:r>
    </w:p>
    <w:p>
      <w:pPr>
        <w:pStyle w:val="ListParagraph"/>
        <w:numPr>
          <w:ilvl w:val="0"/>
          <w:numId w:val="100489140"/>
        </w:numPr>
        <w:ind w:left="360"/>
      </w:pPr>
      <w:r>
        <w:t xml:space="preserve">Wanneer verwacht u dat de GER af zal zijn? Waarom vraagt u geen advies van de Expertgroep Gezondheid IJmond naar aanleiding van de GER? Hoe gaat de GER invloed hebben op de bindende afspraken die u wilt maken met TSN? Wanneer vindt u de uitkomsten van de GER op de maatwerkafspraken voldoende?</w:t>
      </w:r>
      <w:r>
        <w:br/>
      </w:r>
    </w:p>
    <w:p>
      <w:pPr>
        <w:pStyle w:val="ListParagraph"/>
        <w:numPr>
          <w:ilvl w:val="0"/>
          <w:numId w:val="100489140"/>
        </w:numPr>
        <w:ind w:left="360"/>
      </w:pPr>
      <w:r>
        <w:t xml:space="preserve">Wat zegt u tegen omwonenden die de afgelopen jaren meerdere RIVM-rapporten hebben gelezen over hun leefomgeving die stellen dat de lucht rond TSN ongezond is? Welke concrete gezondheidswinst kunt u garanderen aan de omwonenden?</w:t>
      </w:r>
      <w:r>
        <w:br/>
      </w:r>
    </w:p>
    <w:p>
      <w:pPr>
        <w:pStyle w:val="ListParagraph"/>
        <w:numPr>
          <w:ilvl w:val="0"/>
          <w:numId w:val="100489140"/>
        </w:numPr>
        <w:ind w:left="360"/>
      </w:pPr>
      <w:r>
        <w:t xml:space="preserve">Is de toename van het hergebruik van staal tot 30% in 2030 in lijn met de aangenomen motie-Kröger/Thijssen over de circulariteitsdoelen (Kamerstuk 29826, nr. 186)?</w:t>
      </w:r>
      <w:r>
        <w:br/>
      </w:r>
    </w:p>
    <w:p>
      <w:pPr>
        <w:pStyle w:val="ListParagraph"/>
        <w:numPr>
          <w:ilvl w:val="0"/>
          <w:numId w:val="100489140"/>
        </w:numPr>
        <w:ind w:left="360"/>
      </w:pPr>
      <w:r>
        <w:t xml:space="preserve">Is in de JLoI afgesproken dat alle grondstofvelden worden verkapt?</w:t>
      </w:r>
      <w:r>
        <w:br/>
      </w:r>
    </w:p>
    <w:p>
      <w:pPr>
        <w:pStyle w:val="ListParagraph"/>
        <w:numPr>
          <w:ilvl w:val="0"/>
          <w:numId w:val="100489140"/>
        </w:numPr>
        <w:ind w:left="360"/>
      </w:pPr>
      <w:r>
        <w:t xml:space="preserve">Onderschrijft u dat de passage in de JLoI "TSN to do its utmost to ensure that TSN will continue to generate the cash flow needed to complete the Projects" een financiële prikkel geeft aan TSN om kosten te reduceren waardoor mogelijk arbeidsvoorwaarden kunnen verschralen en maatregelen ter bescherming van de omgeving en omwonenden kunnen verminderen? Als TSde aangekondigde reorganisatie van afgelopen april niet doorzet, vindt u dan dat TSN voldoet aan dit stuk van de JLoI? Zo ja, waarom? Zo nee, waarom niet?</w:t>
      </w:r>
      <w:r>
        <w:br/>
      </w:r>
    </w:p>
    <w:p>
      <w:pPr>
        <w:pStyle w:val="ListParagraph"/>
        <w:numPr>
          <w:ilvl w:val="0"/>
          <w:numId w:val="100489140"/>
        </w:numPr>
        <w:ind w:left="360"/>
      </w:pPr>
      <w:r>
        <w:t xml:space="preserve">Hoe groot vindt u dat de ‘final instalment’ minimaal moet zijn, die wordt overmaakt als de CGP2 en BF7 gesloten zijn? Wat is de rationale achter dit bedrag?</w:t>
      </w:r>
      <w:r>
        <w:br/>
      </w:r>
    </w:p>
    <w:p>
      <w:pPr>
        <w:pStyle w:val="ListParagraph"/>
        <w:numPr>
          <w:ilvl w:val="0"/>
          <w:numId w:val="100489140"/>
        </w:numPr>
        <w:ind w:left="360"/>
      </w:pPr>
      <w:r>
        <w:t xml:space="preserve">Wat is de rekensom achter de 200 miljoen euro die de Staat bereid is te lenen om de overstap naar biomethaan of groene waterstof mogelijk te maken? Hoe waarschijnlijk is het dat dit bedrag voldoende is om de lock-in van aardgas te voorkomen? Als TSN geen gebruik maakt van de lening en niet overgaat op biomethaan of groene waterstof, wat gebeurt er dan?</w:t>
      </w:r>
      <w:r>
        <w:br/>
      </w:r>
    </w:p>
    <w:p>
      <w:pPr>
        <w:pStyle w:val="ListParagraph"/>
        <w:numPr>
          <w:ilvl w:val="0"/>
          <w:numId w:val="100489140"/>
        </w:numPr>
        <w:ind w:left="360"/>
      </w:pPr>
      <w:r>
        <w:t xml:space="preserve">Onderschrijft u dat, om eventueel gebruik te maken van het genoemde clawback mechanisme, het nodig is dat de Staat inzicht heeft in de rendementen die gemaakt worden en dus ook in de geldstromen tussen TSN en Tata Steel Limited (TSL)? Heeft u dit ook besproken met TSN en TSL? Hoe gaan zijn inzicht geven in de bedrijfsvoering?</w:t>
      </w:r>
      <w:r>
        <w:br/>
      </w:r>
    </w:p>
    <w:p>
      <w:pPr>
        <w:pStyle w:val="ListParagraph"/>
        <w:numPr>
          <w:ilvl w:val="0"/>
          <w:numId w:val="100489140"/>
        </w:numPr>
        <w:ind w:left="360"/>
      </w:pPr>
      <w:r>
        <w:t xml:space="preserve">Hoe is de 600 miljoen euro berekend voor additionele maatregelen voor gezondheids- en milieuwinst?</w:t>
      </w:r>
      <w:r>
        <w:br/>
      </w:r>
    </w:p>
    <w:p>
      <w:pPr>
        <w:pStyle w:val="ListParagraph"/>
        <w:numPr>
          <w:ilvl w:val="0"/>
          <w:numId w:val="100489140"/>
        </w:numPr>
        <w:ind w:left="360"/>
      </w:pPr>
      <w:r>
        <w:t xml:space="preserve">Welke scenario’s heeft u gezien die aantonen dat met de voorgenomen investeringen TSN tot de meest concurrerende Europese staalproducenten zal behoren?  Welke aannames zijn daarbij gedaan voor de prijzen van CO2, kolen, ijzererts, gas, wind op zee, groene waterstof, etc.? Hoe verhoudt dit zich tot de prijs van zonne-energie in Zuid-Europa en Noord-Afrika ofwel kan TSN concurreren met dergelijke locaties gezien de lage kosten van zonne-energie?</w:t>
      </w:r>
      <w:r>
        <w:br/>
      </w:r>
    </w:p>
    <w:p>
      <w:pPr>
        <w:pStyle w:val="ListParagraph"/>
        <w:numPr>
          <w:ilvl w:val="0"/>
          <w:numId w:val="100489140"/>
        </w:numPr>
        <w:ind w:left="360"/>
      </w:pPr>
      <w:r>
        <w:t xml:space="preserve">Wat wordt bedoeld met de potentiële ‘coal ban’?</w:t>
      </w:r>
      <w:r>
        <w:br/>
      </w:r>
    </w:p>
    <w:p>
      <w:pPr>
        <w:pStyle w:val="ListParagraph"/>
        <w:numPr>
          <w:ilvl w:val="0"/>
          <w:numId w:val="100489140"/>
        </w:numPr>
        <w:ind w:left="360"/>
      </w:pPr>
      <w:r>
        <w:t xml:space="preserve">Kan het huidige stikstofslot ervoor zorgen dat TSN niet kan gaan bouwen aan de nieuwe fabrieken?</w:t>
      </w:r>
      <w:r>
        <w:br/>
      </w:r>
    </w:p>
    <w:p>
      <w:r>
        <w:t xml:space="preserve"> </w:t>
      </w:r>
      <w:r>
        <w:br/>
      </w:r>
    </w:p>
    <w:p>
      <w:r>
        <w:t xml:space="preserve"> </w:t>
      </w:r>
      <w:r>
        <w:br/>
      </w:r>
    </w:p>
    <w:p>
      <w:r>
        <w:t xml:space="preserve"> </w:t>
      </w:r>
      <w:r>
        <w:br/>
      </w:r>
    </w:p>
    <w:p>
      <w:r>
        <w:t xml:space="preserve"> </w:t>
      </w:r>
      <w:r>
        <w:br/>
      </w:r>
    </w:p>
    <w:p>
      <w:r>
        <w:t xml:space="preserve"> </w:t>
      </w:r>
      <w:r>
        <w:br/>
      </w:r>
    </w:p>
    <w:p>
      <w:r>
        <w:t xml:space="preserve"> </w:t>
      </w:r>
      <w:r>
        <w:br/>
      </w:r>
    </w:p>
    <w:p>
      <w:r>
        <w:t xml:space="preserve">[1] Trouw.nl, 6 oktober 2025</w:t>
      </w:r>
      <w:r>
        <w:br/>
      </w:r>
    </w:p>
    <w:p>
      <w:r>
        <w:t xml:space="preserve">[2] FTM.nl, 8 oktober 2025, 'Salarissen directie Tata verdubbeld'</w:t>
      </w:r>
      <w:r>
        <w:br/>
      </w:r>
    </w:p>
    <w:p>
      <w:r>
        <w:t xml:space="preserve">[3] NU.nl, 8 oktober 2025, 'Staalslakken op veel meer plekken gevonden'</w:t>
      </w:r>
      <w:r>
        <w:br/>
      </w:r>
    </w:p>
    <w:p>
      <w:r>
        <w:t xml:space="preserve">[4] NU.nl, 8 oktober 2025, 'Waar komen verwijderde staalslakken terecht? Geen zicht op'</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1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140">
    <w:abstractNumId w:val="1004891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