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5EF" w:rsidP="003A75EF" w:rsidRDefault="00075DEC" w14:paraId="5D67B4CE" w14:textId="0AD6CEF2">
      <w:pPr>
        <w:pStyle w:val="Normaalweb"/>
        <w:spacing w:before="0" w:beforeAutospacing="0" w:after="0" w:afterAutospacing="0"/>
        <w:rPr>
          <w:rFonts w:ascii="Verdana" w:hAnsi="Verdana"/>
          <w:b/>
          <w:bCs/>
          <w:sz w:val="18"/>
          <w:szCs w:val="18"/>
        </w:rPr>
      </w:pPr>
      <w:r>
        <w:rPr>
          <w:rFonts w:ascii="Verdana" w:hAnsi="Verdana"/>
          <w:b/>
          <w:bCs/>
          <w:sz w:val="18"/>
          <w:szCs w:val="18"/>
        </w:rPr>
        <w:t>AH 274</w:t>
      </w:r>
    </w:p>
    <w:p w:rsidR="00075DEC" w:rsidP="003A75EF" w:rsidRDefault="00075DEC" w14:paraId="0A64717B" w14:textId="30F04053">
      <w:pPr>
        <w:pStyle w:val="Normaalweb"/>
        <w:spacing w:before="0" w:beforeAutospacing="0" w:after="0" w:afterAutospacing="0"/>
        <w:rPr>
          <w:rFonts w:ascii="Verdana" w:hAnsi="Verdana"/>
          <w:b/>
          <w:bCs/>
          <w:sz w:val="18"/>
          <w:szCs w:val="18"/>
        </w:rPr>
      </w:pPr>
      <w:r>
        <w:rPr>
          <w:rFonts w:ascii="Verdana" w:hAnsi="Verdana"/>
          <w:b/>
          <w:bCs/>
          <w:sz w:val="18"/>
          <w:szCs w:val="18"/>
        </w:rPr>
        <w:t>2025Z18779</w:t>
      </w:r>
    </w:p>
    <w:p w:rsidR="00075DEC" w:rsidP="003A75EF" w:rsidRDefault="00075DEC" w14:paraId="3C940F8E" w14:textId="77777777">
      <w:pPr>
        <w:pStyle w:val="Normaalweb"/>
        <w:spacing w:before="0" w:beforeAutospacing="0" w:after="0" w:afterAutospacing="0"/>
        <w:rPr>
          <w:rFonts w:ascii="Verdana" w:hAnsi="Verdana"/>
          <w:b/>
          <w:bCs/>
          <w:sz w:val="18"/>
          <w:szCs w:val="18"/>
        </w:rPr>
      </w:pPr>
    </w:p>
    <w:p w:rsidRPr="009B5FE1" w:rsidR="00075DEC" w:rsidP="005864F3" w:rsidRDefault="00075DEC" w14:paraId="4A8CD216" w14:textId="4DE3516A">
      <w:r w:rsidRPr="009B5FE1">
        <w:t xml:space="preserve">Antwoord van minister </w:t>
      </w:r>
      <w:r>
        <w:t>Rijkaart</w:t>
      </w:r>
      <w:r w:rsidRPr="009B5FE1">
        <w:t xml:space="preserve"> (Binnenlandse Zaken en Koninkrijksrelaties)</w:t>
      </w:r>
      <w:r w:rsidRPr="00ED42F6">
        <w:t xml:space="preserve"> </w:t>
      </w:r>
      <w:r w:rsidRPr="009B5FE1">
        <w:t>(ontvangen</w:t>
      </w:r>
      <w:r>
        <w:t xml:space="preserve"> 27 oktober 2025)</w:t>
      </w:r>
    </w:p>
    <w:p w:rsidRPr="00C22774" w:rsidR="00075DEC" w:rsidP="003A75EF" w:rsidRDefault="00075DEC" w14:paraId="161DFDE5" w14:textId="4B81B86C">
      <w:pPr>
        <w:pStyle w:val="Normaalweb"/>
        <w:spacing w:before="0" w:beforeAutospacing="0" w:after="0" w:afterAutospacing="0"/>
        <w:rPr>
          <w:rFonts w:ascii="Verdana" w:hAnsi="Verdana"/>
          <w:sz w:val="18"/>
          <w:szCs w:val="18"/>
        </w:rPr>
      </w:pPr>
    </w:p>
    <w:p w:rsidRPr="00C22774" w:rsidR="003A75EF" w:rsidP="003A75EF" w:rsidRDefault="00075DEC" w14:paraId="6E901900" w14:textId="77777777">
      <w:pPr>
        <w:pStyle w:val="Normaalweb"/>
        <w:spacing w:before="0" w:beforeAutospacing="0" w:after="0" w:afterAutospacing="0"/>
        <w:rPr>
          <w:rFonts w:ascii="Verdana" w:hAnsi="Verdana"/>
          <w:sz w:val="18"/>
          <w:szCs w:val="18"/>
        </w:rPr>
      </w:pPr>
      <w:r w:rsidRPr="00C22774">
        <w:rPr>
          <w:rFonts w:ascii="Verdana" w:hAnsi="Verdana"/>
          <w:sz w:val="18"/>
          <w:szCs w:val="18"/>
        </w:rPr>
        <w:t> </w:t>
      </w:r>
    </w:p>
    <w:p w:rsidR="003A75EF" w:rsidP="003A75EF" w:rsidRDefault="00075DEC" w14:paraId="291C10DC"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Bent u bekend met het bericht ‘Nieuwe socialemediaregels uitdaging voor partijen in campagnetijd’?</w:t>
      </w:r>
      <w:r>
        <w:rPr>
          <w:rStyle w:val="Voetnootmarkering"/>
          <w:rFonts w:ascii="Verdana" w:hAnsi="Verdana" w:eastAsia="Times New Roman"/>
          <w:i/>
          <w:iCs/>
          <w:sz w:val="18"/>
          <w:szCs w:val="18"/>
        </w:rPr>
        <w:footnoteReference w:id="1"/>
      </w:r>
    </w:p>
    <w:p w:rsidRPr="00CF6F80" w:rsidR="003A75EF" w:rsidP="003A75EF" w:rsidRDefault="003A75EF" w14:paraId="34BF8524" w14:textId="77777777">
      <w:pPr>
        <w:ind w:left="720"/>
        <w:rPr>
          <w:rFonts w:ascii="Verdana" w:hAnsi="Verdana" w:eastAsia="Times New Roman"/>
          <w:i/>
          <w:iCs/>
          <w:sz w:val="18"/>
          <w:szCs w:val="18"/>
        </w:rPr>
      </w:pPr>
    </w:p>
    <w:p w:rsidRPr="00852FD7" w:rsidR="003A75EF" w:rsidP="003A75EF" w:rsidRDefault="00075DEC" w14:paraId="326378EA" w14:textId="77777777">
      <w:pPr>
        <w:rPr>
          <w:rFonts w:ascii="Verdana" w:hAnsi="Verdana" w:eastAsia="Times New Roman"/>
          <w:sz w:val="18"/>
          <w:szCs w:val="18"/>
        </w:rPr>
      </w:pPr>
      <w:r>
        <w:rPr>
          <w:rFonts w:ascii="Verdana" w:hAnsi="Verdana" w:eastAsia="Times New Roman"/>
          <w:sz w:val="18"/>
          <w:szCs w:val="18"/>
        </w:rPr>
        <w:t>Ja.</w:t>
      </w:r>
    </w:p>
    <w:p w:rsidRPr="00852FD7" w:rsidR="003A75EF" w:rsidP="003A75EF" w:rsidRDefault="003A75EF" w14:paraId="2D2283BF" w14:textId="77777777">
      <w:pPr>
        <w:rPr>
          <w:rFonts w:ascii="Verdana" w:hAnsi="Verdana" w:eastAsia="Times New Roman"/>
          <w:i/>
          <w:iCs/>
          <w:sz w:val="18"/>
          <w:szCs w:val="18"/>
        </w:rPr>
      </w:pPr>
    </w:p>
    <w:p w:rsidR="003A75EF" w:rsidP="003A75EF" w:rsidRDefault="00075DEC" w14:paraId="20250EF4" w14:textId="77777777">
      <w:pPr>
        <w:numPr>
          <w:ilvl w:val="0"/>
          <w:numId w:val="1"/>
        </w:numPr>
        <w:rPr>
          <w:rFonts w:ascii="Verdana" w:hAnsi="Verdana" w:eastAsia="Times New Roman"/>
          <w:i/>
          <w:iCs/>
          <w:sz w:val="18"/>
          <w:szCs w:val="18"/>
        </w:rPr>
      </w:pPr>
      <w:r w:rsidRPr="00166253">
        <w:rPr>
          <w:rFonts w:ascii="Verdana" w:hAnsi="Verdana" w:eastAsia="Times New Roman"/>
          <w:i/>
          <w:iCs/>
          <w:sz w:val="18"/>
          <w:szCs w:val="18"/>
        </w:rPr>
        <w:t>Wanneer verwacht u dat de nationale uitvoeringswet van de Europese Transparantieverordening in werking kan treden?</w:t>
      </w:r>
    </w:p>
    <w:p w:rsidRPr="00166253" w:rsidR="003A75EF" w:rsidP="003A75EF" w:rsidRDefault="003A75EF" w14:paraId="48BB74F1" w14:textId="77777777">
      <w:pPr>
        <w:ind w:left="720"/>
        <w:rPr>
          <w:rFonts w:ascii="Verdana" w:hAnsi="Verdana" w:eastAsia="Times New Roman"/>
          <w:i/>
          <w:iCs/>
          <w:sz w:val="18"/>
          <w:szCs w:val="18"/>
        </w:rPr>
      </w:pPr>
    </w:p>
    <w:p w:rsidR="003A75EF" w:rsidP="003A75EF" w:rsidRDefault="00075DEC" w14:paraId="5A821445" w14:textId="43460E2D">
      <w:pPr>
        <w:rPr>
          <w:rFonts w:ascii="Verdana" w:hAnsi="Verdana" w:eastAsia="Times New Roman"/>
          <w:sz w:val="18"/>
          <w:szCs w:val="18"/>
        </w:rPr>
      </w:pPr>
      <w:r>
        <w:rPr>
          <w:rFonts w:ascii="Verdana" w:hAnsi="Verdana" w:eastAsia="Times New Roman"/>
          <w:sz w:val="18"/>
          <w:szCs w:val="18"/>
        </w:rPr>
        <w:t>Ik verwacht de uitvoeringswet voor het einde van dit jaar bij uw Kamer in te dienen voor behandeling. Op 26 september jl. heb ik uw Kamer bij brief geïnformeerd over de uitvoering van de Europese verordening over transparantie en gerichte politieke reclame (hierna: de verordening).</w:t>
      </w:r>
      <w:r>
        <w:rPr>
          <w:rStyle w:val="Voetnootmarkering"/>
          <w:rFonts w:ascii="Verdana" w:hAnsi="Verdana" w:eastAsia="Times New Roman"/>
          <w:sz w:val="18"/>
          <w:szCs w:val="18"/>
        </w:rPr>
        <w:footnoteReference w:id="2"/>
      </w:r>
      <w:r>
        <w:rPr>
          <w:rFonts w:ascii="Verdana" w:hAnsi="Verdana" w:eastAsia="Times New Roman"/>
          <w:sz w:val="18"/>
          <w:szCs w:val="18"/>
        </w:rPr>
        <w:t xml:space="preserve"> </w:t>
      </w:r>
      <w:r w:rsidRPr="0006331F">
        <w:rPr>
          <w:rFonts w:ascii="Verdana" w:hAnsi="Verdana" w:eastAsia="Times New Roman"/>
          <w:sz w:val="18"/>
          <w:szCs w:val="18"/>
        </w:rPr>
        <w:t>De verordening is vanaf 10 oktober 2025 rechtstreeks van toepassing in de EU</w:t>
      </w:r>
      <w:r>
        <w:rPr>
          <w:rFonts w:ascii="Verdana" w:hAnsi="Verdana" w:eastAsia="Times New Roman"/>
          <w:sz w:val="18"/>
          <w:szCs w:val="18"/>
        </w:rPr>
        <w:t>-</w:t>
      </w:r>
      <w:r w:rsidRPr="0006331F">
        <w:rPr>
          <w:rFonts w:ascii="Verdana" w:hAnsi="Verdana" w:eastAsia="Times New Roman"/>
          <w:sz w:val="18"/>
          <w:szCs w:val="18"/>
        </w:rPr>
        <w:t>lidstaten. Het kabinet werkt sinds 2024 aan een uitvoeringswet, waarin</w:t>
      </w:r>
      <w:r>
        <w:rPr>
          <w:rFonts w:ascii="Verdana" w:hAnsi="Verdana" w:eastAsia="Times New Roman"/>
          <w:sz w:val="18"/>
          <w:szCs w:val="18"/>
        </w:rPr>
        <w:t xml:space="preserve"> het</w:t>
      </w:r>
      <w:r w:rsidRPr="0006331F">
        <w:rPr>
          <w:rFonts w:ascii="Verdana" w:hAnsi="Verdana" w:eastAsia="Times New Roman"/>
          <w:sz w:val="18"/>
          <w:szCs w:val="18"/>
        </w:rPr>
        <w:t xml:space="preserve"> Commissariaat voor de Media (hierna: het Commissariaat), de Autoriteit Persoonsgegevens (hierna: AP) en de Autoriteit Consument en Markt (hierna: ACM</w:t>
      </w:r>
      <w:r>
        <w:rPr>
          <w:rFonts w:ascii="Verdana" w:hAnsi="Verdana" w:eastAsia="Times New Roman"/>
          <w:sz w:val="18"/>
          <w:szCs w:val="18"/>
        </w:rPr>
        <w:t>)</w:t>
      </w:r>
      <w:r w:rsidRPr="0006331F">
        <w:rPr>
          <w:rFonts w:ascii="Verdana" w:hAnsi="Verdana" w:eastAsia="Times New Roman"/>
          <w:sz w:val="18"/>
          <w:szCs w:val="18"/>
        </w:rPr>
        <w:t xml:space="preserve"> </w:t>
      </w:r>
      <w:r>
        <w:rPr>
          <w:rFonts w:ascii="Verdana" w:hAnsi="Verdana" w:eastAsia="Times New Roman"/>
          <w:sz w:val="18"/>
          <w:szCs w:val="18"/>
        </w:rPr>
        <w:t>worden</w:t>
      </w:r>
      <w:r w:rsidR="00132650">
        <w:rPr>
          <w:rFonts w:ascii="Verdana" w:hAnsi="Verdana" w:eastAsia="Times New Roman"/>
          <w:sz w:val="18"/>
          <w:szCs w:val="18"/>
        </w:rPr>
        <w:t xml:space="preserve"> </w:t>
      </w:r>
      <w:r>
        <w:rPr>
          <w:rFonts w:ascii="Verdana" w:hAnsi="Verdana" w:eastAsia="Times New Roman"/>
          <w:sz w:val="18"/>
          <w:szCs w:val="18"/>
        </w:rPr>
        <w:t xml:space="preserve">belast </w:t>
      </w:r>
      <w:r w:rsidRPr="0006331F">
        <w:rPr>
          <w:rFonts w:ascii="Verdana" w:hAnsi="Verdana" w:eastAsia="Times New Roman"/>
          <w:sz w:val="18"/>
          <w:szCs w:val="18"/>
        </w:rPr>
        <w:t>met de uitvoering van de taken uit de verordening</w:t>
      </w:r>
      <w:r>
        <w:rPr>
          <w:rFonts w:ascii="Verdana" w:hAnsi="Verdana" w:eastAsia="Times New Roman"/>
          <w:sz w:val="18"/>
          <w:szCs w:val="18"/>
        </w:rPr>
        <w:t xml:space="preserve">. </w:t>
      </w:r>
      <w:r w:rsidRPr="0006331F">
        <w:rPr>
          <w:rFonts w:ascii="Verdana" w:hAnsi="Verdana" w:eastAsia="Times New Roman"/>
          <w:sz w:val="18"/>
          <w:szCs w:val="18"/>
        </w:rPr>
        <w:t>De uitvoeringswet is in het voorjaar voor een uitvoeringstoets gedeeld met de betrokken instanties.</w:t>
      </w:r>
      <w:r>
        <w:rPr>
          <w:rFonts w:ascii="Verdana" w:hAnsi="Verdana" w:eastAsia="Times New Roman"/>
          <w:sz w:val="18"/>
          <w:szCs w:val="18"/>
        </w:rPr>
        <w:t xml:space="preserve"> </w:t>
      </w:r>
      <w:r w:rsidRPr="0006331F">
        <w:rPr>
          <w:rFonts w:ascii="Verdana" w:hAnsi="Verdana" w:eastAsia="Times New Roman"/>
          <w:sz w:val="18"/>
          <w:szCs w:val="18"/>
        </w:rPr>
        <w:t>Het advies van de Afdeling advisering van d</w:t>
      </w:r>
      <w:r w:rsidRPr="0006331F">
        <w:rPr>
          <w:rFonts w:ascii="Verdana" w:hAnsi="Verdana" w:eastAsia="Times New Roman"/>
          <w:sz w:val="18"/>
          <w:szCs w:val="18"/>
        </w:rPr>
        <w:t>e Raad van State is op 8 september jl. uitgebracht. Momenteel werk ik aan het nader rapport, waarna het wetsvoorstel bij uw Kamer wordt ingediend.</w:t>
      </w:r>
      <w:r>
        <w:rPr>
          <w:rFonts w:ascii="Verdana" w:hAnsi="Verdana" w:eastAsia="Times New Roman"/>
          <w:sz w:val="18"/>
          <w:szCs w:val="18"/>
        </w:rPr>
        <w:t xml:space="preserve"> Uw Kamer gaat vervolgens over de snelheid waarmee deze </w:t>
      </w:r>
      <w:r w:rsidR="004A28BA">
        <w:rPr>
          <w:rFonts w:ascii="Verdana" w:hAnsi="Verdana" w:eastAsia="Times New Roman"/>
          <w:sz w:val="18"/>
          <w:szCs w:val="18"/>
        </w:rPr>
        <w:t xml:space="preserve">wordt </w:t>
      </w:r>
      <w:r>
        <w:rPr>
          <w:rFonts w:ascii="Verdana" w:hAnsi="Verdana" w:eastAsia="Times New Roman"/>
          <w:sz w:val="18"/>
          <w:szCs w:val="18"/>
        </w:rPr>
        <w:t>behandeld.</w:t>
      </w:r>
    </w:p>
    <w:p w:rsidR="003A75EF" w:rsidP="003A75EF" w:rsidRDefault="003A75EF" w14:paraId="4B508949" w14:textId="77777777">
      <w:pPr>
        <w:rPr>
          <w:rFonts w:ascii="Verdana" w:hAnsi="Verdana" w:eastAsia="Times New Roman"/>
          <w:sz w:val="18"/>
          <w:szCs w:val="18"/>
        </w:rPr>
      </w:pPr>
    </w:p>
    <w:p w:rsidRPr="00852FD7" w:rsidR="003A75EF" w:rsidP="003A75EF" w:rsidRDefault="00075DEC" w14:paraId="6BAF96C6" w14:textId="0FFB2414">
      <w:pPr>
        <w:rPr>
          <w:rFonts w:ascii="Verdana" w:hAnsi="Verdana" w:eastAsia="Times New Roman"/>
          <w:sz w:val="18"/>
          <w:szCs w:val="18"/>
        </w:rPr>
      </w:pPr>
      <w:r w:rsidRPr="00C11241">
        <w:rPr>
          <w:rFonts w:ascii="Verdana" w:hAnsi="Verdana" w:eastAsia="Times New Roman"/>
          <w:sz w:val="18"/>
          <w:szCs w:val="18"/>
        </w:rPr>
        <w:t>Vooruitlopend op de uitvoeringswet heb ik samen met het Commissariaat, de AP en de ACM gewerkt aan een aanwijzingsbesluit.</w:t>
      </w:r>
      <w:r w:rsidR="009D613C">
        <w:rPr>
          <w:rFonts w:ascii="Verdana" w:hAnsi="Verdana" w:eastAsia="Times New Roman"/>
          <w:sz w:val="18"/>
          <w:szCs w:val="18"/>
        </w:rPr>
        <w:t xml:space="preserve"> Dit besluit is ook op 26 september jl. aan uw Kamer gestuurd.</w:t>
      </w:r>
      <w:r>
        <w:rPr>
          <w:rStyle w:val="Voetnootmarkering"/>
          <w:rFonts w:ascii="Verdana" w:hAnsi="Verdana" w:eastAsia="Times New Roman"/>
          <w:sz w:val="18"/>
          <w:szCs w:val="18"/>
        </w:rPr>
        <w:footnoteReference w:id="3"/>
      </w:r>
      <w:r w:rsidRPr="00C11241">
        <w:rPr>
          <w:rFonts w:ascii="Verdana" w:hAnsi="Verdana" w:eastAsia="Times New Roman"/>
          <w:sz w:val="18"/>
          <w:szCs w:val="18"/>
        </w:rPr>
        <w:t xml:space="preserve"> Daarin wordt het Commissariaat aangewezen als bevoegde autoriteit en krijgen de andere betrokken instanties enkele noodzakelijke taken toebedeeld. Zo wordt duidelijk welke instanties de verordening in Nederland gaan uitvoeren. Hierdoor kan het Commissariaat vooruitlopend op de inwerkingtreding van de uitvoeringswet al werken aan normuitleg, uitvoeringsbeleid en voorlichting geven aan marktpartijen die politieke reclame aanbieden en uitgeven. In het </w:t>
      </w:r>
      <w:r w:rsidR="002A51E1">
        <w:rPr>
          <w:rFonts w:ascii="Verdana" w:hAnsi="Verdana" w:eastAsia="Times New Roman"/>
          <w:sz w:val="18"/>
          <w:szCs w:val="18"/>
        </w:rPr>
        <w:t>aanwijzings</w:t>
      </w:r>
      <w:r w:rsidRPr="00C11241">
        <w:rPr>
          <w:rFonts w:ascii="Verdana" w:hAnsi="Verdana" w:eastAsia="Times New Roman"/>
          <w:sz w:val="18"/>
          <w:szCs w:val="18"/>
        </w:rPr>
        <w:t>besluit worden de toezichts- en sanctietaken di</w:t>
      </w:r>
      <w:r w:rsidRPr="00C11241">
        <w:rPr>
          <w:rFonts w:ascii="Verdana" w:hAnsi="Verdana" w:eastAsia="Times New Roman"/>
          <w:sz w:val="18"/>
          <w:szCs w:val="18"/>
        </w:rPr>
        <w:t>e volgen uit de verordening nog niet belegd bij de betrokken instanties. Ik acht hiertoe een formele wet noodzakelijk, omdat in de verordening zelf niet is opgenomen welke organisaties</w:t>
      </w:r>
      <w:r>
        <w:rPr>
          <w:rFonts w:ascii="Verdana" w:hAnsi="Verdana" w:eastAsia="Times New Roman"/>
          <w:sz w:val="18"/>
          <w:szCs w:val="18"/>
        </w:rPr>
        <w:t xml:space="preserve"> </w:t>
      </w:r>
      <w:r w:rsidRPr="00C11241">
        <w:rPr>
          <w:rFonts w:ascii="Verdana" w:hAnsi="Verdana" w:eastAsia="Times New Roman"/>
          <w:sz w:val="18"/>
          <w:szCs w:val="18"/>
        </w:rPr>
        <w:t>in Nederland belast worden met het toezicht op de naleving van de verschillende onderdelen van de verordening. Uitzondering hierop is de AP, die in de verordening rechtstreeks wordt belast met het toezicht op de naleving van de artikelen 18 en 19 en hiertoe ook sanctietaken krijgt. Zodra de uitvoeringswet in werking is getred</w:t>
      </w:r>
      <w:r w:rsidRPr="00C11241">
        <w:rPr>
          <w:rFonts w:ascii="Verdana" w:hAnsi="Verdana" w:eastAsia="Times New Roman"/>
          <w:sz w:val="18"/>
          <w:szCs w:val="18"/>
        </w:rPr>
        <w:t>en, zullen de handhavende bevoegdheden voor de overige onderdelen ook zijn belegd.</w:t>
      </w:r>
    </w:p>
    <w:p w:rsidRPr="00852FD7" w:rsidR="003A75EF" w:rsidP="003A75EF" w:rsidRDefault="003A75EF" w14:paraId="4A38214A" w14:textId="77777777">
      <w:pPr>
        <w:ind w:left="720"/>
        <w:rPr>
          <w:rFonts w:ascii="Verdana" w:hAnsi="Verdana" w:eastAsia="Times New Roman"/>
          <w:i/>
          <w:iCs/>
          <w:sz w:val="18"/>
          <w:szCs w:val="18"/>
        </w:rPr>
      </w:pPr>
    </w:p>
    <w:p w:rsidR="003A75EF" w:rsidP="003A75EF" w:rsidRDefault="00075DEC" w14:paraId="6661FB5B"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Hoe zal er gecontroleerd worden of sociale mediaplatforms, zoals X, voldoen aan de Europese regels omtrent politieke advertenties?</w:t>
      </w:r>
    </w:p>
    <w:p w:rsidR="003A75EF" w:rsidP="003A75EF" w:rsidRDefault="003A75EF" w14:paraId="57F4CC57" w14:textId="77777777">
      <w:pPr>
        <w:rPr>
          <w:rFonts w:ascii="Verdana" w:hAnsi="Verdana" w:eastAsia="Times New Roman"/>
          <w:i/>
          <w:iCs/>
          <w:sz w:val="18"/>
          <w:szCs w:val="18"/>
        </w:rPr>
      </w:pPr>
    </w:p>
    <w:p w:rsidR="003A75EF" w:rsidP="003A75EF" w:rsidRDefault="00075DEC" w14:paraId="6550103A" w14:textId="4AC7FB5C">
      <w:pPr>
        <w:rPr>
          <w:rFonts w:ascii="Verdana" w:hAnsi="Verdana" w:eastAsia="Times New Roman"/>
          <w:sz w:val="18"/>
          <w:szCs w:val="18"/>
        </w:rPr>
      </w:pPr>
      <w:r w:rsidRPr="00C11241">
        <w:rPr>
          <w:rFonts w:ascii="Verdana" w:hAnsi="Verdana" w:eastAsia="Times New Roman"/>
          <w:sz w:val="18"/>
          <w:szCs w:val="18"/>
        </w:rPr>
        <w:t xml:space="preserve">Het toezicht op in hoeverre een platform </w:t>
      </w:r>
      <w:r>
        <w:rPr>
          <w:rFonts w:ascii="Verdana" w:hAnsi="Verdana" w:eastAsia="Times New Roman"/>
          <w:sz w:val="18"/>
          <w:szCs w:val="18"/>
        </w:rPr>
        <w:t xml:space="preserve">zich aan de in de verordening gestelde regels voor politieke reclame houdt, </w:t>
      </w:r>
      <w:r w:rsidRPr="00C11241">
        <w:rPr>
          <w:rFonts w:ascii="Verdana" w:hAnsi="Verdana" w:eastAsia="Times New Roman"/>
          <w:sz w:val="18"/>
          <w:szCs w:val="18"/>
        </w:rPr>
        <w:t>ligt in beginsel bij de toezichthouder van het land waar het platform zijn Europese hoofdkantoor heeft.</w:t>
      </w:r>
      <w:r>
        <w:rPr>
          <w:rFonts w:ascii="Verdana" w:hAnsi="Verdana" w:eastAsia="Times New Roman"/>
          <w:sz w:val="18"/>
          <w:szCs w:val="18"/>
        </w:rPr>
        <w:t xml:space="preserve"> </w:t>
      </w:r>
      <w:r w:rsidRPr="00C11241">
        <w:rPr>
          <w:rFonts w:ascii="Verdana" w:hAnsi="Verdana" w:eastAsia="Times New Roman"/>
          <w:sz w:val="18"/>
          <w:szCs w:val="18"/>
        </w:rPr>
        <w:t xml:space="preserve">Aangezien veel </w:t>
      </w:r>
      <w:r>
        <w:rPr>
          <w:rFonts w:ascii="Verdana" w:hAnsi="Verdana" w:eastAsia="Times New Roman"/>
          <w:sz w:val="18"/>
          <w:szCs w:val="18"/>
        </w:rPr>
        <w:t>grote socialemedia</w:t>
      </w:r>
      <w:r w:rsidRPr="00C11241">
        <w:rPr>
          <w:rFonts w:ascii="Verdana" w:hAnsi="Verdana" w:eastAsia="Times New Roman"/>
          <w:sz w:val="18"/>
          <w:szCs w:val="18"/>
        </w:rPr>
        <w:t>platform</w:t>
      </w:r>
      <w:r w:rsidR="00835DC5">
        <w:rPr>
          <w:rFonts w:ascii="Verdana" w:hAnsi="Verdana" w:eastAsia="Times New Roman"/>
          <w:sz w:val="18"/>
          <w:szCs w:val="18"/>
        </w:rPr>
        <w:t>en</w:t>
      </w:r>
      <w:r>
        <w:rPr>
          <w:rFonts w:ascii="Verdana" w:hAnsi="Verdana" w:eastAsia="Times New Roman"/>
          <w:sz w:val="18"/>
          <w:szCs w:val="18"/>
        </w:rPr>
        <w:t xml:space="preserve">, zoals X, hun </w:t>
      </w:r>
      <w:r w:rsidRPr="00C11241">
        <w:rPr>
          <w:rFonts w:ascii="Verdana" w:hAnsi="Verdana" w:eastAsia="Times New Roman"/>
          <w:sz w:val="18"/>
          <w:szCs w:val="18"/>
        </w:rPr>
        <w:t>hoofdkantoor in Ierland hebben, ligt toezicht en handhaving bij de Ierse toezichthouder</w:t>
      </w:r>
      <w:r>
        <w:rPr>
          <w:rFonts w:ascii="Verdana" w:hAnsi="Verdana" w:eastAsia="Times New Roman"/>
          <w:sz w:val="18"/>
          <w:szCs w:val="18"/>
        </w:rPr>
        <w:t xml:space="preserve">s. Als daar aanleiding toe is, zullen de Nederlandse toezichthouders </w:t>
      </w:r>
      <w:r w:rsidRPr="00C11241">
        <w:rPr>
          <w:rFonts w:ascii="Verdana" w:hAnsi="Verdana" w:eastAsia="Times New Roman"/>
          <w:sz w:val="18"/>
          <w:szCs w:val="18"/>
        </w:rPr>
        <w:t>de Ierse collega's op de hoogte stellen</w:t>
      </w:r>
      <w:r>
        <w:rPr>
          <w:rFonts w:ascii="Verdana" w:hAnsi="Verdana" w:eastAsia="Times New Roman"/>
          <w:sz w:val="18"/>
          <w:szCs w:val="18"/>
        </w:rPr>
        <w:t xml:space="preserve"> van signalen of klachten.</w:t>
      </w:r>
    </w:p>
    <w:p w:rsidRPr="00852FD7" w:rsidR="003A75EF" w:rsidP="003A75EF" w:rsidRDefault="003A75EF" w14:paraId="4B8B6D1E" w14:textId="77777777">
      <w:pPr>
        <w:ind w:left="720"/>
        <w:rPr>
          <w:rFonts w:ascii="Verdana" w:hAnsi="Verdana" w:eastAsia="Times New Roman"/>
          <w:i/>
          <w:iCs/>
          <w:sz w:val="18"/>
          <w:szCs w:val="18"/>
        </w:rPr>
      </w:pPr>
    </w:p>
    <w:p w:rsidR="003A75EF" w:rsidP="003A75EF" w:rsidRDefault="00075DEC" w14:paraId="3EE5EEE4"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 xml:space="preserve">Aangezien de Europese Transparantieverordening politieke advertenties beperkt maar niet volledig verbiedt, hoe wordt in deze verordening omgegaan met situaties waarin sociale </w:t>
      </w:r>
      <w:r w:rsidRPr="00852FD7">
        <w:rPr>
          <w:rFonts w:ascii="Verdana" w:hAnsi="Verdana" w:eastAsia="Times New Roman"/>
          <w:i/>
          <w:iCs/>
          <w:sz w:val="18"/>
          <w:szCs w:val="18"/>
        </w:rPr>
        <w:lastRenderedPageBreak/>
        <w:t>mediaplatforms bepaalde politieke partijen wel toestaan om te adverteren, terwijl andere partijen worden geweigerd?</w:t>
      </w:r>
    </w:p>
    <w:p w:rsidR="003A75EF" w:rsidP="003A75EF" w:rsidRDefault="003A75EF" w14:paraId="160A7640" w14:textId="77777777">
      <w:pPr>
        <w:rPr>
          <w:rFonts w:ascii="Verdana" w:hAnsi="Verdana" w:eastAsia="Times New Roman"/>
          <w:i/>
          <w:iCs/>
          <w:sz w:val="18"/>
          <w:szCs w:val="18"/>
        </w:rPr>
      </w:pPr>
    </w:p>
    <w:p w:rsidRPr="00B30D20" w:rsidR="00B30D20" w:rsidP="00B30D20" w:rsidRDefault="00075DEC" w14:paraId="0DFAA449" w14:textId="69DB5475">
      <w:pPr>
        <w:rPr>
          <w:rFonts w:ascii="Verdana" w:hAnsi="Verdana" w:eastAsia="Times New Roman"/>
          <w:sz w:val="18"/>
          <w:szCs w:val="18"/>
        </w:rPr>
      </w:pPr>
      <w:r w:rsidRPr="00B30D20">
        <w:rPr>
          <w:rFonts w:ascii="Verdana" w:hAnsi="Verdana" w:eastAsia="Times New Roman"/>
          <w:sz w:val="18"/>
          <w:szCs w:val="18"/>
        </w:rPr>
        <w:t>Het zou onwenselijk zijn als zich de situatie voordoet dat socialemediaplatform</w:t>
      </w:r>
      <w:r w:rsidR="00835DC5">
        <w:rPr>
          <w:rFonts w:ascii="Verdana" w:hAnsi="Verdana" w:eastAsia="Times New Roman"/>
          <w:sz w:val="18"/>
          <w:szCs w:val="18"/>
        </w:rPr>
        <w:t>en</w:t>
      </w:r>
      <w:r w:rsidRPr="00B30D20">
        <w:rPr>
          <w:rFonts w:ascii="Verdana" w:hAnsi="Verdana" w:eastAsia="Times New Roman"/>
          <w:sz w:val="18"/>
          <w:szCs w:val="18"/>
        </w:rPr>
        <w:t xml:space="preserve"> bepaalde politieke partijen wel toestaan om te adverteren, terwijl andere partijen worden geweigerd. Dat deze situatie zich gaat voordoen, is in dit stadium echter geen gegeven. Wanneer platform</w:t>
      </w:r>
      <w:r w:rsidR="00835DC5">
        <w:rPr>
          <w:rFonts w:ascii="Verdana" w:hAnsi="Verdana" w:eastAsia="Times New Roman"/>
          <w:sz w:val="18"/>
          <w:szCs w:val="18"/>
        </w:rPr>
        <w:t>en</w:t>
      </w:r>
      <w:r w:rsidRPr="00B30D20">
        <w:rPr>
          <w:rFonts w:ascii="Verdana" w:hAnsi="Verdana" w:eastAsia="Times New Roman"/>
          <w:sz w:val="18"/>
          <w:szCs w:val="18"/>
        </w:rPr>
        <w:t xml:space="preserve"> bepaalde politieke partijen of andere adverteerders ongelijk zouden behandelen, dan is het, gezien de vestiging van de meeste platform</w:t>
      </w:r>
      <w:r w:rsidR="00FC2156">
        <w:rPr>
          <w:rFonts w:ascii="Verdana" w:hAnsi="Verdana" w:eastAsia="Times New Roman"/>
          <w:sz w:val="18"/>
          <w:szCs w:val="18"/>
        </w:rPr>
        <w:t>en</w:t>
      </w:r>
      <w:r w:rsidRPr="00B30D20">
        <w:rPr>
          <w:rFonts w:ascii="Verdana" w:hAnsi="Verdana" w:eastAsia="Times New Roman"/>
          <w:sz w:val="18"/>
          <w:szCs w:val="18"/>
        </w:rPr>
        <w:t xml:space="preserve"> in Ierland, aan de Ierse toezichthouder of de Europese Commissie om te beoordelen of hier sprake is van een overtreding van Europese regelgeving en </w:t>
      </w:r>
      <w:r w:rsidR="004A28BA">
        <w:rPr>
          <w:rFonts w:ascii="Verdana" w:hAnsi="Verdana" w:eastAsia="Times New Roman"/>
          <w:sz w:val="18"/>
          <w:szCs w:val="18"/>
        </w:rPr>
        <w:t xml:space="preserve">om </w:t>
      </w:r>
      <w:r w:rsidRPr="00B30D20">
        <w:rPr>
          <w:rFonts w:ascii="Verdana" w:hAnsi="Verdana" w:eastAsia="Times New Roman"/>
          <w:sz w:val="18"/>
          <w:szCs w:val="18"/>
        </w:rPr>
        <w:t xml:space="preserve">in dat geval op gepaste </w:t>
      </w:r>
      <w:r w:rsidRPr="00B30D20">
        <w:rPr>
          <w:rFonts w:ascii="Verdana" w:hAnsi="Verdana" w:eastAsia="Times New Roman"/>
          <w:sz w:val="18"/>
          <w:szCs w:val="18"/>
        </w:rPr>
        <w:t>wijze te handhaven.</w:t>
      </w:r>
    </w:p>
    <w:p w:rsidRPr="00C11241" w:rsidR="003A75EF" w:rsidP="003A75EF" w:rsidRDefault="003A75EF" w14:paraId="2A672B6D" w14:textId="637D4AA7">
      <w:pPr>
        <w:rPr>
          <w:rFonts w:ascii="Verdana" w:hAnsi="Verdana" w:eastAsia="Times New Roman"/>
          <w:sz w:val="18"/>
          <w:szCs w:val="18"/>
        </w:rPr>
      </w:pPr>
    </w:p>
    <w:p w:rsidRPr="00852FD7" w:rsidR="003A75EF" w:rsidP="003A75EF" w:rsidRDefault="003A75EF" w14:paraId="52F9B496" w14:textId="77777777">
      <w:pPr>
        <w:ind w:left="720"/>
        <w:rPr>
          <w:rFonts w:ascii="Verdana" w:hAnsi="Verdana" w:eastAsia="Times New Roman"/>
          <w:i/>
          <w:iCs/>
          <w:sz w:val="18"/>
          <w:szCs w:val="18"/>
        </w:rPr>
      </w:pPr>
    </w:p>
    <w:p w:rsidRPr="00852FD7" w:rsidR="003A75EF" w:rsidP="003A75EF" w:rsidRDefault="00075DEC" w14:paraId="5091BCFA"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Acht u het wenselijk om additionele maatregelen te nemen om ongelijke behandeling tussen politieke partijen door sociale mediaplatforms te voorkomen?</w:t>
      </w:r>
    </w:p>
    <w:p w:rsidR="003A75EF" w:rsidP="003A75EF" w:rsidRDefault="003A75EF" w14:paraId="020B9E89" w14:textId="77777777">
      <w:pPr>
        <w:rPr>
          <w:rFonts w:ascii="Verdana" w:hAnsi="Verdana" w:eastAsia="Times New Roman"/>
          <w:i/>
          <w:iCs/>
          <w:sz w:val="18"/>
          <w:szCs w:val="18"/>
        </w:rPr>
      </w:pPr>
    </w:p>
    <w:p w:rsidR="003A75EF" w:rsidP="003A75EF" w:rsidRDefault="00075DEC" w14:paraId="12CDADD6" w14:textId="33FA653E">
      <w:pPr>
        <w:rPr>
          <w:rFonts w:ascii="Verdana" w:hAnsi="Verdana" w:eastAsia="Times New Roman"/>
          <w:sz w:val="18"/>
          <w:szCs w:val="18"/>
        </w:rPr>
      </w:pPr>
      <w:r w:rsidRPr="00754F4A">
        <w:rPr>
          <w:rFonts w:ascii="Verdana" w:hAnsi="Verdana" w:eastAsia="Times New Roman"/>
          <w:sz w:val="18"/>
          <w:szCs w:val="18"/>
        </w:rPr>
        <w:t>Deze regelgeving is voor alle lidstate</w:t>
      </w:r>
      <w:r>
        <w:rPr>
          <w:rFonts w:ascii="Verdana" w:hAnsi="Verdana" w:eastAsia="Times New Roman"/>
          <w:sz w:val="18"/>
          <w:szCs w:val="18"/>
        </w:rPr>
        <w:t>n en</w:t>
      </w:r>
      <w:r w:rsidRPr="00754F4A">
        <w:rPr>
          <w:rFonts w:ascii="Verdana" w:hAnsi="Verdana" w:eastAsia="Times New Roman"/>
          <w:sz w:val="18"/>
          <w:szCs w:val="18"/>
        </w:rPr>
        <w:t xml:space="preserve"> ketenpartners in de EU nieuw. De precieze toepassing van de verordening moet gaandeweg vorm krijgen in de praktijk</w:t>
      </w:r>
      <w:r>
        <w:rPr>
          <w:rFonts w:ascii="Verdana" w:hAnsi="Verdana" w:eastAsia="Times New Roman"/>
          <w:sz w:val="18"/>
          <w:szCs w:val="18"/>
        </w:rPr>
        <w:t xml:space="preserve">. </w:t>
      </w:r>
      <w:r w:rsidRPr="00754F4A">
        <w:rPr>
          <w:rFonts w:ascii="Verdana" w:hAnsi="Verdana" w:eastAsia="Times New Roman"/>
          <w:sz w:val="18"/>
          <w:szCs w:val="18"/>
        </w:rPr>
        <w:t>Door de uitwisseling van informatie en vragen wordt de uitvoering van de verordening verder verduidelijkt en beter uitvoerbaar.</w:t>
      </w:r>
      <w:r>
        <w:rPr>
          <w:rFonts w:ascii="Verdana" w:hAnsi="Verdana" w:eastAsia="Times New Roman"/>
          <w:sz w:val="18"/>
          <w:szCs w:val="18"/>
        </w:rPr>
        <w:t xml:space="preserve"> </w:t>
      </w:r>
      <w:r w:rsidR="003707E6">
        <w:rPr>
          <w:rFonts w:ascii="Verdana" w:hAnsi="Verdana" w:eastAsia="Times New Roman"/>
          <w:sz w:val="18"/>
          <w:szCs w:val="18"/>
        </w:rPr>
        <w:t xml:space="preserve">Zo gaat in de komende periode blijken wat er </w:t>
      </w:r>
      <w:r>
        <w:rPr>
          <w:rFonts w:ascii="Verdana" w:hAnsi="Verdana" w:eastAsia="Times New Roman"/>
          <w:sz w:val="18"/>
          <w:szCs w:val="18"/>
        </w:rPr>
        <w:t>mogelijk is binnen de huidige wet- en regelgeving.</w:t>
      </w:r>
      <w:r w:rsidR="003707E6">
        <w:rPr>
          <w:rFonts w:ascii="Verdana" w:hAnsi="Verdana" w:eastAsia="Times New Roman"/>
          <w:sz w:val="18"/>
          <w:szCs w:val="18"/>
        </w:rPr>
        <w:t xml:space="preserve"> Na de door de</w:t>
      </w:r>
      <w:r w:rsidR="00022BF5">
        <w:rPr>
          <w:rFonts w:ascii="Verdana" w:hAnsi="Verdana" w:eastAsia="Times New Roman"/>
          <w:sz w:val="18"/>
          <w:szCs w:val="18"/>
        </w:rPr>
        <w:t xml:space="preserve"> Europese Commissie </w:t>
      </w:r>
      <w:r w:rsidR="003707E6">
        <w:rPr>
          <w:rFonts w:ascii="Verdana" w:hAnsi="Verdana" w:eastAsia="Times New Roman"/>
          <w:sz w:val="18"/>
          <w:szCs w:val="18"/>
        </w:rPr>
        <w:t>geplande evaluatie van de verordening</w:t>
      </w:r>
      <w:r w:rsidR="00022BF5">
        <w:rPr>
          <w:rFonts w:ascii="Verdana" w:hAnsi="Verdana" w:eastAsia="Times New Roman"/>
          <w:sz w:val="18"/>
          <w:szCs w:val="18"/>
        </w:rPr>
        <w:t xml:space="preserve"> kan bezien worden </w:t>
      </w:r>
      <w:r w:rsidR="003707E6">
        <w:rPr>
          <w:rFonts w:ascii="Verdana" w:hAnsi="Verdana" w:eastAsia="Times New Roman"/>
          <w:sz w:val="18"/>
          <w:szCs w:val="18"/>
        </w:rPr>
        <w:t>of additionele maatregelen wenselijk zijn.</w:t>
      </w:r>
      <w:r>
        <w:rPr>
          <w:rStyle w:val="Voetnootmarkering"/>
          <w:rFonts w:ascii="Verdana" w:hAnsi="Verdana" w:eastAsia="Times New Roman"/>
          <w:sz w:val="18"/>
          <w:szCs w:val="18"/>
        </w:rPr>
        <w:footnoteReference w:id="4"/>
      </w:r>
    </w:p>
    <w:p w:rsidRPr="00C11241" w:rsidR="003A75EF" w:rsidP="003A75EF" w:rsidRDefault="003A75EF" w14:paraId="7792A9D5" w14:textId="77777777">
      <w:pPr>
        <w:rPr>
          <w:rFonts w:ascii="Verdana" w:hAnsi="Verdana" w:eastAsia="Times New Roman"/>
          <w:sz w:val="18"/>
          <w:szCs w:val="18"/>
        </w:rPr>
      </w:pPr>
    </w:p>
    <w:p w:rsidR="003A75EF" w:rsidP="003A75EF" w:rsidRDefault="00075DEC" w14:paraId="508A3EF9"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In hoeverre vallen berichten van influencers die gesponsord zijn door politiek partijen onder dezelfde transparantieverplichtingen en beperkingen als reguliere online politieke advertenties?</w:t>
      </w:r>
    </w:p>
    <w:p w:rsidR="003A75EF" w:rsidP="003A75EF" w:rsidRDefault="003A75EF" w14:paraId="629EB431" w14:textId="77777777">
      <w:pPr>
        <w:rPr>
          <w:rFonts w:ascii="Verdana" w:hAnsi="Verdana" w:eastAsia="Times New Roman"/>
          <w:i/>
          <w:iCs/>
          <w:sz w:val="18"/>
          <w:szCs w:val="18"/>
        </w:rPr>
      </w:pPr>
    </w:p>
    <w:p w:rsidRPr="00852FD7" w:rsidR="003A75EF" w:rsidP="003A75EF" w:rsidRDefault="00075DEC" w14:paraId="7D739E8E" w14:textId="23C51F18">
      <w:pPr>
        <w:rPr>
          <w:rFonts w:ascii="Verdana" w:hAnsi="Verdana" w:eastAsia="Times New Roman"/>
          <w:i/>
          <w:iCs/>
          <w:sz w:val="18"/>
          <w:szCs w:val="18"/>
        </w:rPr>
      </w:pPr>
      <w:r>
        <w:rPr>
          <w:rFonts w:ascii="Verdana" w:hAnsi="Verdana" w:eastAsia="Times New Roman"/>
          <w:sz w:val="18"/>
          <w:szCs w:val="18"/>
        </w:rPr>
        <w:t>Influencers die boodschappen overbrengen waarvoor door een politieke partij een betaling in geld of natura wordt verricht</w:t>
      </w:r>
      <w:r w:rsidR="00303609">
        <w:rPr>
          <w:rFonts w:ascii="Verdana" w:hAnsi="Verdana" w:eastAsia="Times New Roman"/>
          <w:sz w:val="18"/>
          <w:szCs w:val="18"/>
        </w:rPr>
        <w:t>,</w:t>
      </w:r>
      <w:r>
        <w:rPr>
          <w:rFonts w:ascii="Verdana" w:hAnsi="Verdana" w:eastAsia="Times New Roman"/>
          <w:sz w:val="18"/>
          <w:szCs w:val="18"/>
        </w:rPr>
        <w:t xml:space="preserve"> vallen onder de werkingssfeer van de verordening. Zij zijn dan zogeheten ‘uitgevers van politieke reclame’ die de verplichtingen moeten nakomen die op hen van toepassing zijn. In de door de Europese Commissie vastgestelde richtsnoeren bij de verordening wordt dit helder weergegeven.</w:t>
      </w:r>
      <w:r>
        <w:rPr>
          <w:rStyle w:val="Voetnootmarkering"/>
          <w:rFonts w:ascii="Verdana" w:hAnsi="Verdana" w:eastAsia="Times New Roman"/>
          <w:sz w:val="18"/>
          <w:szCs w:val="18"/>
        </w:rPr>
        <w:footnoteReference w:id="5"/>
      </w:r>
      <w:r>
        <w:rPr>
          <w:rFonts w:ascii="Verdana" w:hAnsi="Verdana" w:eastAsia="Times New Roman"/>
          <w:sz w:val="18"/>
          <w:szCs w:val="18"/>
        </w:rPr>
        <w:t xml:space="preserve"> Dit betekent dat influencers bij de plaatsing van zulke content de politieke reclame als zodanig moeten labelen en een transparantieverklaring beschikbaar moeten stellen. </w:t>
      </w:r>
    </w:p>
    <w:p w:rsidRPr="00852FD7" w:rsidR="003A75EF" w:rsidP="003A75EF" w:rsidRDefault="003A75EF" w14:paraId="579696DC" w14:textId="77777777">
      <w:pPr>
        <w:ind w:left="720"/>
        <w:rPr>
          <w:rFonts w:ascii="Verdana" w:hAnsi="Verdana" w:eastAsia="Times New Roman"/>
          <w:i/>
          <w:iCs/>
          <w:sz w:val="18"/>
          <w:szCs w:val="18"/>
        </w:rPr>
      </w:pPr>
    </w:p>
    <w:p w:rsidR="003A75EF" w:rsidP="003A75EF" w:rsidRDefault="00075DEC" w14:paraId="472657B4"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Hoe zal gecontroleerd worden of deze influencerberichten zich aan de regelgeving houden?</w:t>
      </w:r>
    </w:p>
    <w:p w:rsidR="003A75EF" w:rsidP="003A75EF" w:rsidRDefault="003A75EF" w14:paraId="24FF6FCE" w14:textId="77777777">
      <w:pPr>
        <w:rPr>
          <w:rFonts w:ascii="Verdana" w:hAnsi="Verdana" w:eastAsia="Times New Roman"/>
          <w:i/>
          <w:iCs/>
          <w:sz w:val="18"/>
          <w:szCs w:val="18"/>
        </w:rPr>
      </w:pPr>
    </w:p>
    <w:p w:rsidRPr="00C11241" w:rsidR="003A75EF" w:rsidP="003A75EF" w:rsidRDefault="00075DEC" w14:paraId="7670FC63" w14:textId="77777777">
      <w:pPr>
        <w:rPr>
          <w:rFonts w:ascii="Verdana" w:hAnsi="Verdana" w:eastAsia="Times New Roman"/>
          <w:sz w:val="18"/>
          <w:szCs w:val="18"/>
        </w:rPr>
      </w:pPr>
      <w:r>
        <w:rPr>
          <w:rFonts w:ascii="Verdana" w:hAnsi="Verdana" w:eastAsia="Times New Roman"/>
          <w:sz w:val="18"/>
          <w:szCs w:val="18"/>
        </w:rPr>
        <w:t>Het is per 10 oktober 2025 mogelijk om bij het Commissariaat voor de Media een melding te doen over mogelijke overtreding van de verordening. Voor het gevolg geven aan handhavende bevoegdheden is de uitvoeringswet echter vereist. Wanneer deze in werking is getreden, kan het Commissariaat, bij het houden van risicogestuurd toezicht,</w:t>
      </w:r>
      <w:r w:rsidRPr="00C11241">
        <w:rPr>
          <w:rFonts w:ascii="Verdana" w:hAnsi="Verdana" w:eastAsia="Times New Roman"/>
          <w:sz w:val="18"/>
          <w:szCs w:val="18"/>
        </w:rPr>
        <w:t xml:space="preserve"> bepaalde influencers nauwlettender volgen</w:t>
      </w:r>
      <w:r>
        <w:rPr>
          <w:rFonts w:ascii="Verdana" w:hAnsi="Verdana" w:eastAsia="Times New Roman"/>
          <w:sz w:val="18"/>
          <w:szCs w:val="18"/>
        </w:rPr>
        <w:t xml:space="preserve"> en, indien nodig, gepaste maatregelen treffen</w:t>
      </w:r>
      <w:r w:rsidRPr="00C11241">
        <w:rPr>
          <w:rFonts w:ascii="Verdana" w:hAnsi="Verdana" w:eastAsia="Times New Roman"/>
          <w:sz w:val="18"/>
          <w:szCs w:val="18"/>
        </w:rPr>
        <w:t>.</w:t>
      </w:r>
      <w:r>
        <w:rPr>
          <w:rFonts w:ascii="Verdana" w:hAnsi="Verdana" w:eastAsia="Times New Roman"/>
          <w:sz w:val="18"/>
          <w:szCs w:val="18"/>
        </w:rPr>
        <w:t xml:space="preserve"> </w:t>
      </w:r>
      <w:r w:rsidRPr="00E1445F">
        <w:rPr>
          <w:rFonts w:ascii="Verdana" w:hAnsi="Verdana" w:eastAsia="Times New Roman"/>
          <w:sz w:val="18"/>
          <w:szCs w:val="18"/>
        </w:rPr>
        <w:t xml:space="preserve">Tot die tijd zal het </w:t>
      </w:r>
      <w:r>
        <w:rPr>
          <w:rFonts w:ascii="Verdana" w:hAnsi="Verdana" w:eastAsia="Times New Roman"/>
          <w:sz w:val="18"/>
          <w:szCs w:val="18"/>
        </w:rPr>
        <w:t xml:space="preserve">Commissariaat </w:t>
      </w:r>
      <w:r w:rsidRPr="00E1445F">
        <w:rPr>
          <w:rFonts w:ascii="Verdana" w:hAnsi="Verdana" w:eastAsia="Times New Roman"/>
          <w:sz w:val="18"/>
          <w:szCs w:val="18"/>
        </w:rPr>
        <w:t>inzetten op preventieve maatregelen zoals voorlichting, bewustmaking en normuitleg.</w:t>
      </w:r>
    </w:p>
    <w:p w:rsidRPr="00852FD7" w:rsidR="003A75EF" w:rsidP="003A75EF" w:rsidRDefault="003A75EF" w14:paraId="678F57E6" w14:textId="77777777">
      <w:pPr>
        <w:ind w:left="720"/>
        <w:rPr>
          <w:rFonts w:ascii="Verdana" w:hAnsi="Verdana" w:eastAsia="Times New Roman"/>
          <w:i/>
          <w:iCs/>
          <w:sz w:val="18"/>
          <w:szCs w:val="18"/>
        </w:rPr>
      </w:pPr>
    </w:p>
    <w:p w:rsidR="003A75EF" w:rsidP="003A75EF" w:rsidRDefault="00075DEC" w14:paraId="012C0F2A"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Welke sancties acht u passend tegen platformen die de Transparantieverordening overtreden?</w:t>
      </w:r>
    </w:p>
    <w:p w:rsidR="003A75EF" w:rsidP="003A75EF" w:rsidRDefault="003A75EF" w14:paraId="124E745C" w14:textId="77777777">
      <w:pPr>
        <w:rPr>
          <w:rFonts w:ascii="Verdana" w:hAnsi="Verdana" w:eastAsia="Times New Roman"/>
          <w:i/>
          <w:iCs/>
          <w:sz w:val="18"/>
          <w:szCs w:val="18"/>
        </w:rPr>
      </w:pPr>
    </w:p>
    <w:p w:rsidR="003A75EF" w:rsidP="003A75EF" w:rsidRDefault="00075DEC" w14:paraId="66D2A671" w14:textId="3C2DDEFF">
      <w:pPr>
        <w:rPr>
          <w:rFonts w:ascii="Verdana" w:hAnsi="Verdana" w:eastAsia="Times New Roman"/>
          <w:sz w:val="18"/>
          <w:szCs w:val="18"/>
        </w:rPr>
      </w:pPr>
      <w:r w:rsidRPr="00C11241">
        <w:rPr>
          <w:rFonts w:ascii="Verdana" w:hAnsi="Verdana" w:eastAsia="Times New Roman"/>
          <w:sz w:val="18"/>
          <w:szCs w:val="18"/>
        </w:rPr>
        <w:t>Het is van belang dat sancties voldoende afschrikwekkend zijn</w:t>
      </w:r>
      <w:r>
        <w:rPr>
          <w:rFonts w:ascii="Verdana" w:hAnsi="Verdana" w:eastAsia="Times New Roman"/>
          <w:sz w:val="18"/>
          <w:szCs w:val="18"/>
        </w:rPr>
        <w:t>,</w:t>
      </w:r>
      <w:r w:rsidRPr="00C11241">
        <w:rPr>
          <w:rFonts w:ascii="Verdana" w:hAnsi="Verdana" w:eastAsia="Times New Roman"/>
          <w:sz w:val="18"/>
          <w:szCs w:val="18"/>
        </w:rPr>
        <w:t xml:space="preserve"> maar ook rekening houden met aspecten als ernst, impact en recidive.</w:t>
      </w:r>
      <w:r>
        <w:rPr>
          <w:rFonts w:ascii="Verdana" w:hAnsi="Verdana" w:eastAsia="Times New Roman"/>
          <w:sz w:val="18"/>
          <w:szCs w:val="18"/>
        </w:rPr>
        <w:t xml:space="preserve"> De verordening biedt daarvoor ruime mogelijkheden.</w:t>
      </w:r>
      <w:r>
        <w:rPr>
          <w:rStyle w:val="Voetnootmarkering"/>
          <w:rFonts w:ascii="Verdana" w:hAnsi="Verdana" w:eastAsia="Times New Roman"/>
          <w:sz w:val="18"/>
          <w:szCs w:val="18"/>
        </w:rPr>
        <w:footnoteReference w:id="6"/>
      </w:r>
      <w:r>
        <w:rPr>
          <w:rFonts w:ascii="Verdana" w:hAnsi="Verdana" w:eastAsia="Times New Roman"/>
          <w:sz w:val="18"/>
          <w:szCs w:val="18"/>
        </w:rPr>
        <w:t xml:space="preserve"> Het is echter aan de toezichthouders om te bepalen wat gepaste sancties zijn bij overtredingen van de verordening. Bij overtredingen door de grote platformen zullen dit veelal de Ierse toezichthouders zijn.</w:t>
      </w:r>
    </w:p>
    <w:p w:rsidRPr="00852FD7" w:rsidR="003A75EF" w:rsidP="003A75EF" w:rsidRDefault="003A75EF" w14:paraId="5ED64D60" w14:textId="77777777">
      <w:pPr>
        <w:ind w:left="720"/>
        <w:rPr>
          <w:rFonts w:ascii="Verdana" w:hAnsi="Verdana" w:eastAsia="Times New Roman"/>
          <w:i/>
          <w:iCs/>
          <w:sz w:val="18"/>
          <w:szCs w:val="18"/>
        </w:rPr>
      </w:pPr>
    </w:p>
    <w:p w:rsidRPr="00C11241" w:rsidR="003A75EF" w:rsidP="003A75EF" w:rsidRDefault="00075DEC" w14:paraId="5E635808"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Acht u het wenselijk om additionele regelgeving in te stellen om niet alleen sociale mediaplatformen maar ook politieke partijen te kunnen sanctioneren als ze zich niet houden aan de regels in de transparantieverordening?</w:t>
      </w:r>
      <w:r w:rsidRPr="00852FD7">
        <w:rPr>
          <w:i/>
          <w:iCs/>
        </w:rPr>
        <w:t> </w:t>
      </w:r>
    </w:p>
    <w:p w:rsidR="003A75EF" w:rsidP="003A75EF" w:rsidRDefault="003A75EF" w14:paraId="243503EC" w14:textId="77777777">
      <w:pPr>
        <w:rPr>
          <w:rFonts w:ascii="Verdana" w:hAnsi="Verdana" w:eastAsia="Times New Roman"/>
          <w:sz w:val="18"/>
          <w:szCs w:val="18"/>
        </w:rPr>
      </w:pPr>
    </w:p>
    <w:p w:rsidRPr="003A75EF" w:rsidR="00974A05" w:rsidP="003A75EF" w:rsidRDefault="00075DEC" w14:paraId="0AA8A268" w14:textId="27DFC82E">
      <w:pPr>
        <w:rPr>
          <w:i/>
          <w:iCs/>
        </w:rPr>
      </w:pPr>
      <w:r>
        <w:rPr>
          <w:rFonts w:ascii="Verdana" w:hAnsi="Verdana" w:eastAsia="Times New Roman"/>
          <w:sz w:val="18"/>
          <w:szCs w:val="18"/>
        </w:rPr>
        <w:t>Zie het antwoord op vraag 5.</w:t>
      </w:r>
    </w:p>
    <w:sectPr w:rsidRPr="003A75EF" w:rsidR="00974A05" w:rsidSect="007A16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969D" w14:textId="77777777" w:rsidR="00075DEC" w:rsidRDefault="00075DEC">
      <w:r>
        <w:separator/>
      </w:r>
    </w:p>
  </w:endnote>
  <w:endnote w:type="continuationSeparator" w:id="0">
    <w:p w14:paraId="252F20BA" w14:textId="77777777" w:rsidR="00075DEC" w:rsidRDefault="0007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BB12" w14:textId="77777777" w:rsidR="00852FD7" w:rsidRDefault="00075DEC" w:rsidP="00852FD7">
      <w:r>
        <w:separator/>
      </w:r>
    </w:p>
  </w:footnote>
  <w:footnote w:type="continuationSeparator" w:id="0">
    <w:p w14:paraId="5CE2E462" w14:textId="77777777" w:rsidR="00852FD7" w:rsidRDefault="00075DEC" w:rsidP="00852FD7">
      <w:r>
        <w:continuationSeparator/>
      </w:r>
    </w:p>
  </w:footnote>
  <w:footnote w:id="1">
    <w:p w14:paraId="3011191A" w14:textId="77777777" w:rsidR="003A75EF" w:rsidRPr="009F31DE" w:rsidRDefault="00075DEC" w:rsidP="003A75EF">
      <w:pPr>
        <w:pStyle w:val="Normaalweb"/>
        <w:spacing w:before="0" w:beforeAutospacing="0" w:after="0" w:afterAutospacing="0"/>
        <w:rPr>
          <w:rFonts w:ascii="Verdana" w:hAnsi="Verdana"/>
          <w:sz w:val="16"/>
          <w:szCs w:val="16"/>
        </w:rPr>
      </w:pPr>
      <w:r w:rsidRPr="009F31DE">
        <w:rPr>
          <w:rStyle w:val="Voetnootmarkering"/>
          <w:rFonts w:ascii="Verdana" w:hAnsi="Verdana"/>
          <w:sz w:val="16"/>
          <w:szCs w:val="16"/>
        </w:rPr>
        <w:footnoteRef/>
      </w:r>
      <w:r w:rsidRPr="009F31DE">
        <w:rPr>
          <w:rFonts w:ascii="Verdana" w:hAnsi="Verdana"/>
          <w:sz w:val="16"/>
          <w:szCs w:val="16"/>
        </w:rPr>
        <w:t xml:space="preserve"> </w:t>
      </w:r>
      <w:hyperlink r:id="rId1" w:history="1">
        <w:r w:rsidR="003A75EF" w:rsidRPr="009F31DE">
          <w:rPr>
            <w:rStyle w:val="Hyperlink"/>
            <w:rFonts w:ascii="Verdana" w:hAnsi="Verdana"/>
            <w:sz w:val="16"/>
            <w:szCs w:val="16"/>
          </w:rPr>
          <w:t>https://nos.nl/collectie/14002/artikel/2584920-nieuwe-socialemediaregels-uitdaging-voor-partijen-in-campagnetijd</w:t>
        </w:r>
      </w:hyperlink>
    </w:p>
  </w:footnote>
  <w:footnote w:id="2">
    <w:p w14:paraId="57DCC0B3" w14:textId="25716344" w:rsidR="00AA3F68" w:rsidRPr="009F31DE" w:rsidRDefault="00075DEC">
      <w:pPr>
        <w:pStyle w:val="Voetnoottekst"/>
        <w:rPr>
          <w:rFonts w:ascii="Verdana" w:hAnsi="Verdana"/>
          <w:sz w:val="16"/>
          <w:szCs w:val="16"/>
        </w:rPr>
      </w:pPr>
      <w:r w:rsidRPr="009F31DE">
        <w:rPr>
          <w:rStyle w:val="Voetnootmarkering"/>
          <w:rFonts w:ascii="Verdana" w:hAnsi="Verdana"/>
          <w:sz w:val="16"/>
          <w:szCs w:val="16"/>
        </w:rPr>
        <w:footnoteRef/>
      </w:r>
      <w:r w:rsidRPr="009F31DE">
        <w:rPr>
          <w:rFonts w:ascii="Verdana" w:hAnsi="Verdana"/>
          <w:sz w:val="16"/>
          <w:szCs w:val="16"/>
        </w:rPr>
        <w:t xml:space="preserve"> </w:t>
      </w:r>
      <w:r w:rsidR="009D613C" w:rsidRPr="009F31DE">
        <w:rPr>
          <w:rFonts w:ascii="Verdana" w:hAnsi="Verdana"/>
          <w:sz w:val="16"/>
          <w:szCs w:val="16"/>
        </w:rPr>
        <w:t xml:space="preserve">Voor de Kamerbrief, zie: </w:t>
      </w:r>
      <w:hyperlink r:id="rId2" w:history="1">
        <w:r w:rsidR="009D613C" w:rsidRPr="009F31DE">
          <w:rPr>
            <w:rStyle w:val="Hyperlink"/>
            <w:rFonts w:ascii="Verdana" w:hAnsi="Verdana"/>
            <w:sz w:val="16"/>
            <w:szCs w:val="16"/>
          </w:rPr>
          <w:t>https://open.overheid.nl/documenten/90437f76-4ab3-48e8-8ef3-dd4fe98f6d99/file</w:t>
        </w:r>
      </w:hyperlink>
      <w:r w:rsidRPr="009F31DE">
        <w:rPr>
          <w:rFonts w:ascii="Verdana" w:hAnsi="Verdana"/>
          <w:sz w:val="16"/>
          <w:szCs w:val="16"/>
        </w:rPr>
        <w:t xml:space="preserve"> </w:t>
      </w:r>
    </w:p>
  </w:footnote>
  <w:footnote w:id="3">
    <w:p w14:paraId="5D7142B5" w14:textId="7D60AE8E" w:rsidR="009D613C" w:rsidRPr="009F31DE" w:rsidRDefault="00075DEC">
      <w:pPr>
        <w:pStyle w:val="Voetnoottekst"/>
        <w:rPr>
          <w:rFonts w:ascii="Verdana" w:hAnsi="Verdana"/>
          <w:sz w:val="16"/>
          <w:szCs w:val="16"/>
        </w:rPr>
      </w:pPr>
      <w:r w:rsidRPr="00AF5093">
        <w:rPr>
          <w:rStyle w:val="Voetnootmarkering"/>
          <w:rFonts w:ascii="Verdana" w:hAnsi="Verdana"/>
          <w:sz w:val="16"/>
          <w:szCs w:val="16"/>
        </w:rPr>
        <w:footnoteRef/>
      </w:r>
      <w:r w:rsidRPr="00AF5093">
        <w:rPr>
          <w:rFonts w:ascii="Verdana" w:hAnsi="Verdana"/>
          <w:sz w:val="16"/>
          <w:szCs w:val="16"/>
        </w:rPr>
        <w:t xml:space="preserve"> </w:t>
      </w:r>
      <w:r w:rsidRPr="009F31DE">
        <w:rPr>
          <w:rFonts w:ascii="Verdana" w:hAnsi="Verdana"/>
          <w:sz w:val="16"/>
          <w:szCs w:val="16"/>
        </w:rPr>
        <w:t xml:space="preserve">Voor het aanwijzingsbesluit, zie: </w:t>
      </w:r>
      <w:hyperlink r:id="rId3" w:history="1">
        <w:r w:rsidR="009D613C" w:rsidRPr="009F31DE">
          <w:rPr>
            <w:rStyle w:val="Hyperlink"/>
            <w:rFonts w:ascii="Verdana" w:hAnsi="Verdana"/>
            <w:sz w:val="16"/>
            <w:szCs w:val="16"/>
          </w:rPr>
          <w:t>https://open.overheid.nl/documenten/41e2509c-c63c-474b-9863-bce6d32da524/file</w:t>
        </w:r>
      </w:hyperlink>
      <w:r w:rsidRPr="009F31DE">
        <w:rPr>
          <w:rFonts w:ascii="Verdana" w:hAnsi="Verdana"/>
          <w:sz w:val="16"/>
          <w:szCs w:val="16"/>
        </w:rPr>
        <w:t xml:space="preserve"> </w:t>
      </w:r>
    </w:p>
  </w:footnote>
  <w:footnote w:id="4">
    <w:p w14:paraId="468202B6" w14:textId="1126FC61" w:rsidR="003707E6" w:rsidRPr="009F31DE" w:rsidRDefault="00075DEC">
      <w:pPr>
        <w:pStyle w:val="Voetnoottekst"/>
        <w:rPr>
          <w:rFonts w:ascii="Verdana" w:hAnsi="Verdana"/>
          <w:sz w:val="16"/>
          <w:szCs w:val="16"/>
        </w:rPr>
      </w:pPr>
      <w:r w:rsidRPr="009F31DE">
        <w:rPr>
          <w:rStyle w:val="Voetnootmarkering"/>
          <w:rFonts w:ascii="Verdana" w:hAnsi="Verdana"/>
          <w:sz w:val="16"/>
          <w:szCs w:val="16"/>
        </w:rPr>
        <w:footnoteRef/>
      </w:r>
      <w:r w:rsidRPr="009F31DE">
        <w:rPr>
          <w:rFonts w:ascii="Verdana" w:hAnsi="Verdana"/>
          <w:sz w:val="16"/>
          <w:szCs w:val="16"/>
        </w:rPr>
        <w:t xml:space="preserve"> Zie voor de evaluatiebepaling art. 27 van de verordening.</w:t>
      </w:r>
    </w:p>
  </w:footnote>
  <w:footnote w:id="5">
    <w:p w14:paraId="1AFCC6A6" w14:textId="7932D6E7" w:rsidR="003A75EF" w:rsidRPr="009F31DE" w:rsidRDefault="00075DEC" w:rsidP="003A75EF">
      <w:pPr>
        <w:pStyle w:val="Voetnoottekst"/>
        <w:rPr>
          <w:rFonts w:ascii="Verdana" w:hAnsi="Verdana"/>
          <w:sz w:val="16"/>
          <w:szCs w:val="16"/>
        </w:rPr>
      </w:pPr>
      <w:r w:rsidRPr="009F31DE">
        <w:rPr>
          <w:rStyle w:val="Voetnootmarkering"/>
          <w:rFonts w:ascii="Verdana" w:hAnsi="Verdana"/>
          <w:sz w:val="16"/>
          <w:szCs w:val="16"/>
        </w:rPr>
        <w:footnoteRef/>
      </w:r>
      <w:r w:rsidRPr="009F31DE">
        <w:rPr>
          <w:rFonts w:ascii="Verdana" w:hAnsi="Verdana"/>
          <w:sz w:val="16"/>
          <w:szCs w:val="16"/>
        </w:rPr>
        <w:t xml:space="preserve"> Zie o.a. 1.3.2. en 2.1, aldaar voorbeeld 14</w:t>
      </w:r>
      <w:r w:rsidR="004A537F">
        <w:rPr>
          <w:rFonts w:ascii="Verdana" w:hAnsi="Verdana"/>
          <w:sz w:val="16"/>
          <w:szCs w:val="16"/>
        </w:rPr>
        <w:t>,</w:t>
      </w:r>
      <w:r w:rsidRPr="009F31DE">
        <w:rPr>
          <w:rFonts w:ascii="Verdana" w:hAnsi="Verdana"/>
          <w:sz w:val="16"/>
          <w:szCs w:val="16"/>
        </w:rPr>
        <w:t xml:space="preserve"> in de Richtsnoeren ter ondersteuning van de uitvoering van Verordening (EU) 2024/900 betreffende transparantie en gerichte politieke reclame: </w:t>
      </w:r>
      <w:hyperlink r:id="rId4" w:history="1">
        <w:r w:rsidR="003A75EF" w:rsidRPr="009F31DE">
          <w:rPr>
            <w:rStyle w:val="Hyperlink"/>
            <w:rFonts w:ascii="Verdana" w:hAnsi="Verdana"/>
            <w:sz w:val="16"/>
            <w:szCs w:val="16"/>
          </w:rPr>
          <w:t>https://eur-lex.europa.eu/legal-content/NL/TXT/HTML/?uri=OJ:C_202505514</w:t>
        </w:r>
      </w:hyperlink>
      <w:r w:rsidRPr="009F31DE">
        <w:rPr>
          <w:rFonts w:ascii="Verdana" w:hAnsi="Verdana"/>
          <w:sz w:val="16"/>
          <w:szCs w:val="16"/>
        </w:rPr>
        <w:t xml:space="preserve"> </w:t>
      </w:r>
    </w:p>
  </w:footnote>
  <w:footnote w:id="6">
    <w:p w14:paraId="46D0B74D" w14:textId="463CDA60" w:rsidR="009F31DE" w:rsidRPr="009F31DE" w:rsidRDefault="00075DEC">
      <w:pPr>
        <w:pStyle w:val="Voetnoottekst"/>
        <w:rPr>
          <w:rFonts w:ascii="Verdana" w:hAnsi="Verdana"/>
          <w:sz w:val="16"/>
          <w:szCs w:val="16"/>
        </w:rPr>
      </w:pPr>
      <w:r w:rsidRPr="009F31DE">
        <w:rPr>
          <w:rStyle w:val="Voetnootmarkering"/>
          <w:rFonts w:ascii="Verdana" w:hAnsi="Verdana"/>
          <w:sz w:val="16"/>
          <w:szCs w:val="16"/>
        </w:rPr>
        <w:footnoteRef/>
      </w:r>
      <w:r w:rsidRPr="009F31DE">
        <w:rPr>
          <w:rFonts w:ascii="Verdana" w:hAnsi="Verdana"/>
          <w:sz w:val="16"/>
          <w:szCs w:val="16"/>
        </w:rPr>
        <w:t xml:space="preserve"> Zie daarvoor art. </w:t>
      </w:r>
      <w:r w:rsidR="00964758">
        <w:rPr>
          <w:rFonts w:ascii="Verdana" w:hAnsi="Verdana"/>
          <w:sz w:val="16"/>
          <w:szCs w:val="16"/>
        </w:rPr>
        <w:t>22, vijfde lid,</w:t>
      </w:r>
      <w:r w:rsidR="00964758" w:rsidRPr="009F31DE">
        <w:rPr>
          <w:rFonts w:ascii="Verdana" w:hAnsi="Verdana"/>
          <w:sz w:val="16"/>
          <w:szCs w:val="16"/>
        </w:rPr>
        <w:t xml:space="preserve"> </w:t>
      </w:r>
      <w:r w:rsidR="00964758">
        <w:rPr>
          <w:rFonts w:ascii="Verdana" w:hAnsi="Verdana"/>
          <w:sz w:val="16"/>
          <w:szCs w:val="16"/>
        </w:rPr>
        <w:t xml:space="preserve">en </w:t>
      </w:r>
      <w:r w:rsidR="00022BF5">
        <w:rPr>
          <w:rFonts w:ascii="Verdana" w:hAnsi="Verdana"/>
          <w:sz w:val="16"/>
          <w:szCs w:val="16"/>
        </w:rPr>
        <w:t xml:space="preserve">art. </w:t>
      </w:r>
      <w:r w:rsidRPr="009F31DE">
        <w:rPr>
          <w:rFonts w:ascii="Verdana" w:hAnsi="Verdana"/>
          <w:sz w:val="16"/>
          <w:szCs w:val="16"/>
        </w:rPr>
        <w:t>25</w:t>
      </w:r>
      <w:r w:rsidR="00964758">
        <w:rPr>
          <w:rFonts w:ascii="Verdana" w:hAnsi="Verdana"/>
          <w:sz w:val="16"/>
          <w:szCs w:val="16"/>
        </w:rPr>
        <w:t xml:space="preserve"> </w:t>
      </w:r>
      <w:r w:rsidRPr="009F31DE">
        <w:rPr>
          <w:rFonts w:ascii="Verdana" w:hAnsi="Verdana"/>
          <w:sz w:val="16"/>
          <w:szCs w:val="16"/>
        </w:rPr>
        <w:t>van de verordening.</w:t>
      </w:r>
      <w:r w:rsidR="004D049C">
        <w:rPr>
          <w:rFonts w:ascii="Verdana" w:hAnsi="Verdana"/>
          <w:sz w:val="16"/>
          <w:szCs w:val="16"/>
        </w:rPr>
        <w:t xml:space="preserve"> Met de Nederlandse uitvoeringswet </w:t>
      </w:r>
      <w:r w:rsidR="00453EEE">
        <w:rPr>
          <w:rFonts w:ascii="Verdana" w:hAnsi="Verdana"/>
          <w:sz w:val="16"/>
          <w:szCs w:val="16"/>
        </w:rPr>
        <w:t>worden</w:t>
      </w:r>
      <w:r w:rsidR="004D049C">
        <w:rPr>
          <w:rFonts w:ascii="Verdana" w:hAnsi="Verdana"/>
          <w:sz w:val="16"/>
          <w:szCs w:val="16"/>
        </w:rPr>
        <w:t xml:space="preserve"> de sanctiemogelijkheden die de Algemene Wet Bestuursrecht biedt</w:t>
      </w:r>
      <w:r w:rsidR="00453EEE">
        <w:rPr>
          <w:rFonts w:ascii="Verdana" w:hAnsi="Verdana"/>
          <w:sz w:val="16"/>
          <w:szCs w:val="16"/>
        </w:rPr>
        <w:t xml:space="preserve">, </w:t>
      </w:r>
      <w:r w:rsidR="004D049C">
        <w:rPr>
          <w:rFonts w:ascii="Verdana" w:hAnsi="Verdana"/>
          <w:sz w:val="16"/>
          <w:szCs w:val="16"/>
        </w:rPr>
        <w:t>toegekend aan de betrokken instanties.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192E"/>
    <w:multiLevelType w:val="multilevel"/>
    <w:tmpl w:val="5D5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E276A"/>
    <w:multiLevelType w:val="multilevel"/>
    <w:tmpl w:val="B0CE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385947">
    <w:abstractNumId w:val="1"/>
  </w:num>
  <w:num w:numId="2" w16cid:durableId="186883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19"/>
    <w:rsid w:val="0002053A"/>
    <w:rsid w:val="00022BF5"/>
    <w:rsid w:val="00035997"/>
    <w:rsid w:val="0006331F"/>
    <w:rsid w:val="0007212C"/>
    <w:rsid w:val="00075DEC"/>
    <w:rsid w:val="000B1F72"/>
    <w:rsid w:val="000B25EC"/>
    <w:rsid w:val="00132650"/>
    <w:rsid w:val="00166253"/>
    <w:rsid w:val="00197862"/>
    <w:rsid w:val="001F0566"/>
    <w:rsid w:val="001F58A0"/>
    <w:rsid w:val="002242D5"/>
    <w:rsid w:val="00251B04"/>
    <w:rsid w:val="00270BC3"/>
    <w:rsid w:val="002953FC"/>
    <w:rsid w:val="00297B99"/>
    <w:rsid w:val="002A51E1"/>
    <w:rsid w:val="002F7D9A"/>
    <w:rsid w:val="00303609"/>
    <w:rsid w:val="003707E6"/>
    <w:rsid w:val="00393B1F"/>
    <w:rsid w:val="003A58C1"/>
    <w:rsid w:val="003A75EF"/>
    <w:rsid w:val="003E23D6"/>
    <w:rsid w:val="004413C3"/>
    <w:rsid w:val="00453EEE"/>
    <w:rsid w:val="00492962"/>
    <w:rsid w:val="004A28BA"/>
    <w:rsid w:val="004A537F"/>
    <w:rsid w:val="004B6A9D"/>
    <w:rsid w:val="004D049C"/>
    <w:rsid w:val="004E5B0E"/>
    <w:rsid w:val="00584F41"/>
    <w:rsid w:val="005B04AE"/>
    <w:rsid w:val="005D209F"/>
    <w:rsid w:val="00625DE1"/>
    <w:rsid w:val="00664D8D"/>
    <w:rsid w:val="006676FF"/>
    <w:rsid w:val="00667EAF"/>
    <w:rsid w:val="00754F4A"/>
    <w:rsid w:val="007A1685"/>
    <w:rsid w:val="0083048F"/>
    <w:rsid w:val="00833CDA"/>
    <w:rsid w:val="00835DC5"/>
    <w:rsid w:val="00852FD7"/>
    <w:rsid w:val="0089155E"/>
    <w:rsid w:val="00891825"/>
    <w:rsid w:val="008D179C"/>
    <w:rsid w:val="008F1307"/>
    <w:rsid w:val="008F13B6"/>
    <w:rsid w:val="00920E9D"/>
    <w:rsid w:val="009224C8"/>
    <w:rsid w:val="00964758"/>
    <w:rsid w:val="00974A05"/>
    <w:rsid w:val="009D613C"/>
    <w:rsid w:val="009F31DE"/>
    <w:rsid w:val="00A132D6"/>
    <w:rsid w:val="00A1513D"/>
    <w:rsid w:val="00A17162"/>
    <w:rsid w:val="00A47BFB"/>
    <w:rsid w:val="00A61810"/>
    <w:rsid w:val="00A9320E"/>
    <w:rsid w:val="00AA3F68"/>
    <w:rsid w:val="00AF5093"/>
    <w:rsid w:val="00B30D20"/>
    <w:rsid w:val="00B66DCA"/>
    <w:rsid w:val="00B777C7"/>
    <w:rsid w:val="00BA1DF8"/>
    <w:rsid w:val="00C018CF"/>
    <w:rsid w:val="00C11241"/>
    <w:rsid w:val="00C22774"/>
    <w:rsid w:val="00C37105"/>
    <w:rsid w:val="00C4023B"/>
    <w:rsid w:val="00C450A7"/>
    <w:rsid w:val="00C92CAD"/>
    <w:rsid w:val="00CF6F80"/>
    <w:rsid w:val="00D9440B"/>
    <w:rsid w:val="00D94F8F"/>
    <w:rsid w:val="00D966AB"/>
    <w:rsid w:val="00DB4C23"/>
    <w:rsid w:val="00DF5219"/>
    <w:rsid w:val="00E0796D"/>
    <w:rsid w:val="00E1445F"/>
    <w:rsid w:val="00E17FBD"/>
    <w:rsid w:val="00E61323"/>
    <w:rsid w:val="00E9763D"/>
    <w:rsid w:val="00EA465C"/>
    <w:rsid w:val="00ED09D6"/>
    <w:rsid w:val="00EE6EB3"/>
    <w:rsid w:val="00EF6448"/>
    <w:rsid w:val="00F85441"/>
    <w:rsid w:val="00FA54BD"/>
    <w:rsid w:val="00FB51E7"/>
    <w:rsid w:val="00FC2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631B7"/>
  <w15:chartTrackingRefBased/>
  <w15:docId w15:val="{0757DCB5-B130-4570-9579-E32581F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1DF8"/>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unhideWhenUsed/>
    <w:pPr>
      <w:spacing w:before="100" w:beforeAutospacing="1" w:after="100" w:afterAutospacing="1"/>
    </w:pPr>
  </w:style>
  <w:style w:type="character" w:styleId="Hyperlink">
    <w:name w:val="Hyperlink"/>
    <w:basedOn w:val="Standaardalinea-lettertype"/>
    <w:uiPriority w:val="99"/>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 w:type="paragraph" w:styleId="Lijstalinea">
    <w:name w:val="List Paragraph"/>
    <w:basedOn w:val="Standaard"/>
    <w:uiPriority w:val="34"/>
    <w:qFormat/>
    <w:rsid w:val="00852FD7"/>
    <w:pPr>
      <w:ind w:left="720"/>
      <w:contextualSpacing/>
    </w:pPr>
  </w:style>
  <w:style w:type="paragraph" w:styleId="Voetnoottekst">
    <w:name w:val="footnote text"/>
    <w:basedOn w:val="Standaard"/>
    <w:link w:val="VoetnoottekstChar"/>
    <w:uiPriority w:val="99"/>
    <w:semiHidden/>
    <w:unhideWhenUsed/>
    <w:rsid w:val="00852FD7"/>
    <w:rPr>
      <w:sz w:val="20"/>
      <w:szCs w:val="20"/>
    </w:rPr>
  </w:style>
  <w:style w:type="character" w:customStyle="1" w:styleId="VoetnoottekstChar">
    <w:name w:val="Voetnoottekst Char"/>
    <w:basedOn w:val="Standaardalinea-lettertype"/>
    <w:link w:val="Voetnoottekst"/>
    <w:uiPriority w:val="99"/>
    <w:semiHidden/>
    <w:rsid w:val="00852FD7"/>
    <w:rPr>
      <w:rFonts w:eastAsiaTheme="minorEastAsia"/>
    </w:rPr>
  </w:style>
  <w:style w:type="character" w:styleId="Voetnootmarkering">
    <w:name w:val="footnote reference"/>
    <w:basedOn w:val="Standaardalinea-lettertype"/>
    <w:uiPriority w:val="99"/>
    <w:semiHidden/>
    <w:unhideWhenUsed/>
    <w:rsid w:val="00852FD7"/>
    <w:rPr>
      <w:vertAlign w:val="superscript"/>
    </w:rPr>
  </w:style>
  <w:style w:type="character" w:styleId="Onopgelostemelding">
    <w:name w:val="Unresolved Mention"/>
    <w:basedOn w:val="Standaardalinea-lettertype"/>
    <w:uiPriority w:val="99"/>
    <w:semiHidden/>
    <w:unhideWhenUsed/>
    <w:rsid w:val="004B6A9D"/>
    <w:rPr>
      <w:color w:val="605E5C"/>
      <w:shd w:val="clear" w:color="auto" w:fill="E1DFDD"/>
    </w:rPr>
  </w:style>
  <w:style w:type="character" w:styleId="Verwijzingopmerking">
    <w:name w:val="annotation reference"/>
    <w:basedOn w:val="Standaardalinea-lettertype"/>
    <w:uiPriority w:val="99"/>
    <w:semiHidden/>
    <w:unhideWhenUsed/>
    <w:rsid w:val="00920E9D"/>
    <w:rPr>
      <w:sz w:val="16"/>
      <w:szCs w:val="16"/>
    </w:rPr>
  </w:style>
  <w:style w:type="paragraph" w:styleId="Tekstopmerking">
    <w:name w:val="annotation text"/>
    <w:basedOn w:val="Standaard"/>
    <w:link w:val="TekstopmerkingChar"/>
    <w:uiPriority w:val="99"/>
    <w:unhideWhenUsed/>
    <w:rsid w:val="00920E9D"/>
    <w:rPr>
      <w:sz w:val="20"/>
      <w:szCs w:val="20"/>
    </w:rPr>
  </w:style>
  <w:style w:type="character" w:customStyle="1" w:styleId="TekstopmerkingChar">
    <w:name w:val="Tekst opmerking Char"/>
    <w:basedOn w:val="Standaardalinea-lettertype"/>
    <w:link w:val="Tekstopmerking"/>
    <w:uiPriority w:val="99"/>
    <w:rsid w:val="00920E9D"/>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920E9D"/>
    <w:rPr>
      <w:b/>
      <w:bCs/>
    </w:rPr>
  </w:style>
  <w:style w:type="character" w:customStyle="1" w:styleId="OnderwerpvanopmerkingChar">
    <w:name w:val="Onderwerp van opmerking Char"/>
    <w:basedOn w:val="TekstopmerkingChar"/>
    <w:link w:val="Onderwerpvanopmerking"/>
    <w:uiPriority w:val="99"/>
    <w:semiHidden/>
    <w:rsid w:val="00920E9D"/>
    <w:rPr>
      <w:rFonts w:eastAsiaTheme="minorEastAsia"/>
      <w:b/>
      <w:bCs/>
    </w:rPr>
  </w:style>
  <w:style w:type="paragraph" w:styleId="Revisie">
    <w:name w:val="Revision"/>
    <w:hidden/>
    <w:uiPriority w:val="99"/>
    <w:semiHidden/>
    <w:rsid w:val="00D966A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1e2509c-c63c-474b-9863-bce6d32da524/file" TargetMode="External"/><Relationship Id="rId2" Type="http://schemas.openxmlformats.org/officeDocument/2006/relationships/hyperlink" Target="https://open.overheid.nl/documenten/90437f76-4ab3-48e8-8ef3-dd4fe98f6d99/file" TargetMode="External"/><Relationship Id="rId1" Type="http://schemas.openxmlformats.org/officeDocument/2006/relationships/hyperlink" Target="https://nos.nl/collectie/14002/artikel/2584920-nieuwe-socialemediaregels-uitdaging-voor-partijen-in-campagnetijd" TargetMode="External"/><Relationship Id="rId4" Type="http://schemas.openxmlformats.org/officeDocument/2006/relationships/hyperlink" Target="https://eur-lex.europa.eu/legal-content/NL/TXT/HTML/?uri=OJ:C_202505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1012</ap:Words>
  <ap:Characters>5993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dcterms:created xsi:type="dcterms:W3CDTF">2025-10-27T12:29:00.0000000Z</dcterms:created>
  <dcterms:modified xsi:type="dcterms:W3CDTF">2025-10-27T12:29:00.0000000Z</dcterms:modified>
  <dc:subject/>
  <dc:title/>
  <keywords/>
  <version/>
  <category/>
</coreProperties>
</file>