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2025Z19232</w:t>
        <w:br/>
      </w:r>
      <w:proofErr w:type="spellEnd"/>
    </w:p>
    <w:p>
      <w:pPr>
        <w:pStyle w:val="Normal"/>
        <w:rPr>
          <w:b w:val="1"/>
          <w:bCs w:val="1"/>
        </w:rPr>
      </w:pPr>
      <w:r w:rsidR="250AE766">
        <w:rPr>
          <w:b w:val="0"/>
          <w:bCs w:val="0"/>
        </w:rPr>
        <w:t>(ingezonden 27 oktober 2025)</w:t>
        <w:br/>
      </w:r>
    </w:p>
    <w:p>
      <w:r>
        <w:t xml:space="preserve">Vragen van het lid Joseph (BBB) aan de minister van Sociale Zaken en Werkgelegenheid over de toepassing van artikel 137 Pensioenwet bij pensioenfondsen met bijstortingsverplichting</w:t>
      </w:r>
      <w:r>
        <w:br/>
      </w:r>
    </w:p>
    <w:p>
      <w:pPr>
        <w:pStyle w:val="ListParagraph"/>
        <w:numPr>
          <w:ilvl w:val="0"/>
          <w:numId w:val="100489260"/>
        </w:numPr>
        <w:ind w:left="360"/>
      </w:pPr>
      <w:r>
        <w:t xml:space="preserve">Bent u bekend met de Linkedin-post van de vereniging Voorop van 26 oktober 2025 over risico’s rond de toepassing van artikel 137 Pensioenwet bij fondsen met een bijstortingsverplichting? 1)</w:t>
      </w:r>
      <w:r>
        <w:br/>
      </w:r>
    </w:p>
    <w:p>
      <w:pPr>
        <w:pStyle w:val="ListParagraph"/>
        <w:numPr>
          <w:ilvl w:val="0"/>
          <w:numId w:val="100489260"/>
        </w:numPr>
        <w:ind w:left="360"/>
      </w:pPr>
      <w:r>
        <w:t xml:space="preserve">Klopt het dat de Wet toekomst pensioenen juist voor bijvoorbeeld pensioenfondsen met een bijstortingsverplichting een uitzondering op invaren voorziet omdat de huidige rechten op basis van bestaande afspraken al gegarandeerd zijn en bovendien in de praktijk veelal waardevast zijn gebleken?</w:t>
      </w:r>
      <w:r>
        <w:br/>
      </w:r>
    </w:p>
    <w:p>
      <w:pPr>
        <w:pStyle w:val="ListParagraph"/>
        <w:numPr>
          <w:ilvl w:val="0"/>
          <w:numId w:val="100489260"/>
        </w:numPr>
        <w:ind w:left="360"/>
      </w:pPr>
      <w:r>
        <w:t xml:space="preserve">Wat vindt u ervan dat sommige sociale partners overwegen om dergelijke pensioenfondsen toch in te varen, waardoor (gewezen) deelnemers en gepensioneerden hun bestaande garanties verliezen?</w:t>
      </w:r>
      <w:r>
        <w:br/>
      </w:r>
    </w:p>
    <w:p>
      <w:pPr>
        <w:pStyle w:val="ListParagraph"/>
        <w:numPr>
          <w:ilvl w:val="0"/>
          <w:numId w:val="100489260"/>
        </w:numPr>
        <w:ind w:left="360"/>
      </w:pPr>
      <w:r>
        <w:t xml:space="preserve">Kunt u bevestigen dat de strenge indexatieregels uit artikel 137 Pensioenwet oorspronkelijk bedoeld waren om vermogensverschuivingen door (inhaal)indexaties te voorkomen en dat pensioenfondsen met bijstortingsverplichting hier expliciet van uitgezonderd zijn?</w:t>
      </w:r>
      <w:r>
        <w:br/>
      </w:r>
    </w:p>
    <w:p>
      <w:pPr>
        <w:pStyle w:val="ListParagraph"/>
        <w:numPr>
          <w:ilvl w:val="0"/>
          <w:numId w:val="100489260"/>
        </w:numPr>
        <w:ind w:left="360"/>
      </w:pPr>
      <w:r>
        <w:t xml:space="preserve">Acht u het juist dat deze uitzondering voor pensioenfondsen met een bijstortingsverplichting vervalt zodra er binnen het fonds geen nieuwe pensioenopbouw meer plaatsvindt vanwege de overgang naar de Wet toekomst pensioenen, terwijl de regeling en bijstortingsverplichting ongewijzigd blijven? Was dat ooit de bedoeling van de Wet toekomst pensioenen of juist niet?</w:t>
      </w:r>
      <w:r>
        <w:br/>
      </w:r>
    </w:p>
    <w:p>
      <w:pPr>
        <w:pStyle w:val="ListParagraph"/>
        <w:numPr>
          <w:ilvl w:val="0"/>
          <w:numId w:val="100489260"/>
        </w:numPr>
        <w:ind w:left="360"/>
      </w:pPr>
      <w:r>
        <w:t xml:space="preserve">Bent u ermee bekend dat sommige sociale partners hun transitie-analyses baseren op de aanname dat de versoepelde indexatieregels vervallen bij het sluiten van het pensioenfonds voor nieuwe pensioenopbouw, waardoor invaren gunstiger lijkt?</w:t>
      </w:r>
      <w:r>
        <w:br/>
      </w:r>
    </w:p>
    <w:p>
      <w:pPr>
        <w:pStyle w:val="ListParagraph"/>
        <w:numPr>
          <w:ilvl w:val="0"/>
          <w:numId w:val="100489260"/>
        </w:numPr>
        <w:ind w:left="360"/>
      </w:pPr>
      <w:r>
        <w:t xml:space="preserve">Deelt u de opvatting dat (gewezen) deelnemers en gepensioneerden aan fondsen met bijstortingsverplichting mochten vertrouwen op blijvende toepassing van artikel 137 zolang deze verplichting bestaat ondanks dat nieuwe pensioenopbouw door de introductie van de Wet toekomst pensioenen elders wordt ondergebracht? Welke maatregelen neemt u om dit vertrouwen te beschermen tijdens de transitie?</w:t>
      </w:r>
      <w:r>
        <w:br/>
      </w:r>
    </w:p>
    <w:p>
      <w:pPr>
        <w:pStyle w:val="ListParagraph"/>
        <w:numPr>
          <w:ilvl w:val="0"/>
          <w:numId w:val="100489260"/>
        </w:numPr>
        <w:ind w:left="360"/>
      </w:pPr>
      <w:r>
        <w:t xml:space="preserve">Hoe waarborgt u dat de uitzondering van artikel 137, derde lid, onderdeel b, een wettelijke waarborg blijft voor pensioenfondsen met een bijstortingsverplichting en geen beleidsmatige keuzevrijheid wordt van sociale partners, en hoe voorkomt u dat werkgevers via een te ruime interpretatie onder bestaande garanties uitkomen?</w:t>
      </w:r>
      <w:r>
        <w:br/>
      </w:r>
    </w:p>
    <w:p>
      <w:pPr>
        <w:pStyle w:val="ListParagraph"/>
        <w:numPr>
          <w:ilvl w:val="0"/>
          <w:numId w:val="100489260"/>
        </w:numPr>
        <w:ind w:left="360"/>
      </w:pPr>
      <w:r>
        <w:t xml:space="preserve">Bent u bereid om snel helderheid te verschaffen over de toepassing van artikel 137 bij gesloten fondsen met bijstortingsverplichting die nieuwe pensioenopbouw elders willen onderbrengen, zodat rechtszekerheid ontstaat en deelnemers tussentijds niet onbedoeld rechten verliezen?</w:t>
      </w:r>
      <w:r>
        <w:br/>
      </w:r>
    </w:p>
    <w:p>
      <w:pPr>
        <w:pStyle w:val="ListParagraph"/>
        <w:numPr>
          <w:ilvl w:val="0"/>
          <w:numId w:val="100489260"/>
        </w:numPr>
        <w:ind w:left="360"/>
      </w:pPr>
      <w:r>
        <w:t xml:space="preserve">Hoe wordt in de praktijk de onafhankelijkheid van besluitvorming over de transitie geborgd wanneer ondernemingsraden of centrale ondernemingsraden tegelijkertijd betrokken zijn bij meerdere pensioenfondsen met uiteenlopende belangen?</w:t>
      </w:r>
      <w:r>
        <w:br/>
      </w:r>
    </w:p>
    <w:p>
      <w:pPr>
        <w:pStyle w:val="ListParagraph"/>
        <w:numPr>
          <w:ilvl w:val="0"/>
          <w:numId w:val="100489260"/>
        </w:numPr>
        <w:ind w:left="360"/>
      </w:pPr>
      <w:r>
        <w:t xml:space="preserve">Acht u het wenselijk dat sociale partners die zelf belanghebbende zijn bij de uitkomst, zonder externe toetsing vooraf bepalen of sprake is van evenwichtige besluitvorming? Zo nee, welke waarborgen acht de minister noodzakelijk?</w:t>
      </w:r>
      <w:r>
        <w:br/>
      </w:r>
    </w:p>
    <w:p>
      <w:pPr>
        <w:pStyle w:val="ListParagraph"/>
        <w:numPr>
          <w:ilvl w:val="0"/>
          <w:numId w:val="100489260"/>
        </w:numPr>
        <w:ind w:left="360"/>
      </w:pPr>
      <w:r>
        <w:t xml:space="preserve">Overweegt u aanvullende maatregelen om (de schijn van) belangenverstrengeling of gebrek aan onafhankelijke toetsing te voorkomen — bijvoorbeeld bij situaties waarin een ondernemingsraad enerzijds door middel van verhoging van de (werkgevers-)premie inzet op pensioenverbetering bij een premiegefinancierd fonds (aantal pensioengerechtigden &lt; 1%), maar bij een tweede fonds met bijstortingsverplichting, sterfhuisconstructie en met nog slechts +/- 13%  actieve deelnemers) geen bezwaar maakt tegen invaren?</w:t>
      </w:r>
      <w:r>
        <w:br/>
      </w:r>
    </w:p>
    <w:p>
      <w:pPr>
        <w:pStyle w:val="ListParagraph"/>
        <w:numPr>
          <w:ilvl w:val="0"/>
          <w:numId w:val="100489260"/>
        </w:numPr>
        <w:ind w:left="360"/>
      </w:pPr>
      <w:r>
        <w:t xml:space="preserve">Kunt u deze vragen één voor één en binnen drie weken beantwoorden?</w:t>
      </w:r>
      <w:r>
        <w:br/>
      </w:r>
    </w:p>
    <w:p>
      <w:r>
        <w:t xml:space="preserve"> </w:t>
      </w:r>
      <w:r>
        <w:br/>
      </w:r>
    </w:p>
    <w:p>
      <w:r>
        <w:t xml:space="preserve">1) https://www.linkedin.com/feed/update/urn:li:activity:7388260910051721219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2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210">
    <w:abstractNumId w:val="1004892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