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2025Z19233</w:t>
        <w:br/>
      </w:r>
      <w:proofErr w:type="spellEnd"/>
    </w:p>
    <w:p>
      <w:pPr>
        <w:pStyle w:val="Normal"/>
        <w:rPr>
          <w:b w:val="1"/>
          <w:bCs w:val="1"/>
        </w:rPr>
      </w:pPr>
      <w:r w:rsidR="250AE766">
        <w:rPr>
          <w:b w:val="0"/>
          <w:bCs w:val="0"/>
        </w:rPr>
        <w:t>(ingezonden 27 oktober 2025)</w:t>
        <w:br/>
      </w:r>
    </w:p>
    <w:p>
      <w:r>
        <w:t xml:space="preserve">Vragen van het lid Hertzberger (Nieuw Sociaal Contract) aan de ministers van Landbouw, Visserij, Voedselzekerheid en Natuur en van Economische Zaken over het artikel 'Sleutelrol voor Nederland in Europese lobby voor versoepeling regels gentech-voedsel'. </w:t>
      </w:r>
      <w:r>
        <w:br/>
      </w:r>
    </w:p>
    <w:p>
      <w:pPr>
        <w:pStyle w:val="ListParagraph"/>
        <w:numPr>
          <w:ilvl w:val="0"/>
          <w:numId w:val="100489250"/>
        </w:numPr>
        <w:ind w:left="360"/>
      </w:pPr>
      <w:r>
        <w:t xml:space="preserve">Bent u bekend met het artikel 'Sleutelrol voor Nederland in Europese lobby voor versoepeling regels gentech-voedsel' van Argos en de bijbehorende documentaire 'Stille strijd om ons zaad'? 1)</w:t>
      </w:r>
      <w:r>
        <w:br/>
      </w:r>
    </w:p>
    <w:p>
      <w:pPr>
        <w:pStyle w:val="ListParagraph"/>
        <w:numPr>
          <w:ilvl w:val="0"/>
          <w:numId w:val="100489250"/>
        </w:numPr>
        <w:ind w:left="360"/>
      </w:pPr>
      <w:r>
        <w:t xml:space="preserve">Herinnert u zich de aangenomen motie van het lid Hertzberger c.s. (Kamerstuk 36 410 XIV, nr. 81), waarin de regering wordt verzocht zich in te zetten voor een interpretatie van de nieuwe genomische technieken (NGT)-verordening die voorkomt dat er patenten kunnen worden verleend op zowel conventioneel als genetisch geïntroduceerde eigenschappen?</w:t>
      </w:r>
      <w:r>
        <w:br/>
      </w:r>
    </w:p>
    <w:p>
      <w:pPr>
        <w:pStyle w:val="ListParagraph"/>
        <w:numPr>
          <w:ilvl w:val="0"/>
          <w:numId w:val="100489250"/>
        </w:numPr>
        <w:ind w:left="360"/>
      </w:pPr>
      <w:r>
        <w:t xml:space="preserve">Hoe beoordeelt u de in het artikel beschreven actieve Nederlandse lobby voor versoepeling van NGT-regels, inclusief het weglaten van risicobeoordeling en etikettering bij NGT-gewassen, in het licht van deze en andere aangenomen moties die juist pleiten voor strikte kaders en bescherming van publieke belangen?</w:t>
      </w:r>
      <w:r>
        <w:br/>
      </w:r>
    </w:p>
    <w:p>
      <w:pPr>
        <w:pStyle w:val="ListParagraph"/>
        <w:numPr>
          <w:ilvl w:val="0"/>
          <w:numId w:val="100489250"/>
        </w:numPr>
        <w:ind w:left="360"/>
      </w:pPr>
      <w:r>
        <w:t xml:space="preserve">Kunt u toelichten hoe uw ministerie en andere betrokken ministeries de uitvoering van deze Kameruitspraken hebben gewaarborgd in de Nederlandse inzet binnen de besloten triloog op 14 oktober 2025? Kunt u daarbij specifiek aangeven welke inzet is gepleegd om patenteerbaarheid van NGT-eigenschappen te voorkomen?</w:t>
      </w:r>
      <w:r>
        <w:br/>
      </w:r>
    </w:p>
    <w:p>
      <w:pPr>
        <w:pStyle w:val="ListParagraph"/>
        <w:numPr>
          <w:ilvl w:val="0"/>
          <w:numId w:val="100489250"/>
        </w:numPr>
        <w:ind w:left="360"/>
      </w:pPr>
      <w:r>
        <w:t xml:space="preserve">Hoe verhoudt het resultaat zich tot het Commissie milieubeheer, klimaat en voedselveiligheid (ENVI)-compromis van het Europees Parlement, dat octrooien op NGT-planten en -producten uitsluit? Steunt Nederland dit standpunt nog steeds actief in de onderhandelingen?</w:t>
      </w:r>
      <w:r>
        <w:br/>
      </w:r>
    </w:p>
    <w:p>
      <w:pPr>
        <w:pStyle w:val="ListParagraph"/>
        <w:numPr>
          <w:ilvl w:val="0"/>
          <w:numId w:val="100489250"/>
        </w:numPr>
        <w:ind w:left="360"/>
      </w:pPr>
      <w:r>
        <w:t xml:space="preserve">Is het waar dat zorgen van kleinere veredelaars en maatschappelijke organisaties structureel minder prioriteit kregen in de Nederlandse onderhandelingsinzet, zoals wordt gesuggereerd in het artikel? Zo nee, kunt u dat onderbouwen met concrete voorbeelden van hoe deze belangen zijn meegenomen?</w:t>
      </w:r>
      <w:r>
        <w:br/>
      </w:r>
    </w:p>
    <w:p>
      <w:pPr>
        <w:pStyle w:val="ListParagraph"/>
        <w:numPr>
          <w:ilvl w:val="0"/>
          <w:numId w:val="100489250"/>
        </w:numPr>
        <w:ind w:left="360"/>
      </w:pPr>
      <w:r>
        <w:t xml:space="preserve">Erkent u dat een toename van patenten op NGT-gewassen het risico met zich meebrengt van belemmering van veredelingsvrijheid, juridisering van de sector en machtsconcentratie bij enkele grote zadenbedrijven, zoals in het artikel wordt beschreven? Zo nee, waarom niet?</w:t>
      </w:r>
      <w:r>
        <w:br/>
      </w:r>
    </w:p>
    <w:p>
      <w:pPr>
        <w:pStyle w:val="ListParagraph"/>
        <w:numPr>
          <w:ilvl w:val="0"/>
          <w:numId w:val="100489250"/>
        </w:numPr>
        <w:ind w:left="360"/>
      </w:pPr>
      <w:r>
        <w:t xml:space="preserve">Gezien de grote meerderheden die moties zoals de motie-Hertzberger c.s. hebben gekregen houdt u er rekening mee dat de Kamer u mogelijk per motie zal verzoeken om tegen een resultaat te stemmen waarin de oproepen tot heldere etikettering, voor keuzevrijheid en tegen octrooien van eigenschappen niet voldoende zijn gewaarborgd? Kunt u toezeggen gehoor te geven aan een dergelijk verzoek?</w:t>
      </w:r>
      <w:r>
        <w:br/>
      </w:r>
    </w:p>
    <w:p>
      <w:pPr>
        <w:pStyle w:val="ListParagraph"/>
        <w:numPr>
          <w:ilvl w:val="0"/>
          <w:numId w:val="100489250"/>
        </w:numPr>
        <w:ind w:left="360"/>
      </w:pPr>
      <w:r>
        <w:t xml:space="preserve">Kunt u toezeggen de Kamer tijdig te informeren over aankomende stemmingen zodat er voldoende gelegenheid is om uw inzet in Europa in lijn te brengen met de wens van een democratische meerderheid?</w:t>
      </w:r>
      <w:r>
        <w:br/>
      </w:r>
    </w:p>
    <w:p>
      <w:pPr>
        <w:pStyle w:val="ListParagraph"/>
        <w:numPr>
          <w:ilvl w:val="0"/>
          <w:numId w:val="100489250"/>
        </w:numPr>
        <w:ind w:left="360"/>
      </w:pPr>
      <w:r>
        <w:t xml:space="preserve">Kunt u deze vragen afzonderlijk van elkaar beantwoorden voordat er nieuwe overleggen plaatsvinden?</w:t>
      </w:r>
      <w:r>
        <w:br/>
      </w:r>
    </w:p>
    <w:p>
      <w:r>
        <w:t xml:space="preserve"> </w:t>
      </w:r>
      <w:r>
        <w:br/>
      </w:r>
    </w:p>
    <w:p>
      <w:r>
        <w:t xml:space="preserve">1) Argos, 7 september 2025, 'Sleutelrol voor Nederland in Europese lobby voor versoepeling regels gentech-voedsel' (argos.vpro.nl/artikelen/nederland-speelt-sleutelrol-in-europese-lobby-voor-versoepeling-regels-gentech-voedsel)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210">
    <w:abstractNumId w:val="10048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