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2025Z19269</w:t>
        <w:br/>
      </w:r>
      <w:proofErr w:type="spellEnd"/>
    </w:p>
    <w:p>
      <w:pPr>
        <w:pStyle w:val="Normal"/>
        <w:rPr>
          <w:b w:val="1"/>
          <w:bCs w:val="1"/>
        </w:rPr>
      </w:pPr>
      <w:r w:rsidR="250AE766">
        <w:rPr>
          <w:b w:val="0"/>
          <w:bCs w:val="0"/>
        </w:rPr>
        <w:t>(ingezonden 28 oktober 2025)</w:t>
        <w:br/>
      </w:r>
    </w:p>
    <w:p>
      <w:r>
        <w:t xml:space="preserve">Vragen van de leden Dassen en Koekkoek (beiden Volt) aan de ministers van Asiel en Migratie en van Buitenlandse Zaken over het bericht 'Kabinet stuurt vrouwen terug naar Taliban in Afghanistan' </w:t>
      </w:r>
      <w:r>
        <w:br/>
      </w:r>
    </w:p>
    <w:p>
      <w:r>
        <w:t xml:space="preserve"> </w:t>
      </w:r>
      <w:r>
        <w:br/>
      </w:r>
    </w:p>
    <w:p>
      <w:pPr>
        <w:pStyle w:val="ListParagraph"/>
        <w:numPr>
          <w:ilvl w:val="0"/>
          <w:numId w:val="100489290"/>
        </w:numPr>
        <w:ind w:left="360"/>
      </w:pPr>
      <w:r>
        <w:t xml:space="preserve">Bent u bekend met het bericht 'Kabinet stuurt vrouwen terug naar Taliban in Afghanistan'? 1)</w:t>
      </w:r>
      <w:r>
        <w:br/>
      </w:r>
      <w:r>
        <w:t xml:space="preserve"> </w:t>
      </w:r>
      <w:r>
        <w:br/>
      </w:r>
    </w:p>
    <w:p>
      <w:pPr>
        <w:pStyle w:val="ListParagraph"/>
        <w:numPr>
          <w:ilvl w:val="0"/>
          <w:numId w:val="100489290"/>
        </w:numPr>
        <w:ind w:left="360"/>
      </w:pPr>
      <w:r>
        <w:t xml:space="preserve">Onderschrijft u het oordeel van het Europese Hof van Justitie dat de leefregels van de Taliban een dermate grote opeenstapeling van discriminatie jegens vrouwen behelzen dat deze de facto kan worden gezien als vervolging van vrouwen, zoals genoemd in bovenstaand artikel?</w:t>
      </w:r>
      <w:r>
        <w:br/>
      </w:r>
      <w:r>
        <w:t xml:space="preserve"> </w:t>
      </w:r>
      <w:r>
        <w:br/>
      </w:r>
    </w:p>
    <w:p>
      <w:pPr>
        <w:pStyle w:val="ListParagraph"/>
        <w:numPr>
          <w:ilvl w:val="0"/>
          <w:numId w:val="100489290"/>
        </w:numPr>
        <w:ind w:left="360"/>
      </w:pPr>
      <w:r>
        <w:t xml:space="preserve">Bent u van mening dat vrouwen disproportioneel meer gevaar lopen in Afghanistan dan mannen?</w:t>
      </w:r>
      <w:r>
        <w:br/>
      </w:r>
      <w:r>
        <w:t xml:space="preserve"> </w:t>
      </w:r>
      <w:r>
        <w:br/>
      </w:r>
    </w:p>
    <w:p>
      <w:pPr>
        <w:pStyle w:val="ListParagraph"/>
        <w:numPr>
          <w:ilvl w:val="0"/>
          <w:numId w:val="100489290"/>
        </w:numPr>
        <w:ind w:left="360"/>
      </w:pPr>
      <w:r>
        <w:t xml:space="preserve">Waarom heeft u besloten om samen met Australië, Canada en Duitsland juridische stappen te ondernemen tegen Afghanistan voor het niet nakomen van de verplichtingen onder het Verdrag inzake uitbanning van alle vormen van discriminatie tegen vrouwen?</w:t>
      </w:r>
      <w:r>
        <w:br/>
      </w:r>
      <w:r>
        <w:t xml:space="preserve"> </w:t>
      </w:r>
      <w:r>
        <w:br/>
      </w:r>
    </w:p>
    <w:p>
      <w:pPr>
        <w:pStyle w:val="ListParagraph"/>
        <w:numPr>
          <w:ilvl w:val="0"/>
          <w:numId w:val="100489290"/>
        </w:numPr>
        <w:ind w:left="360"/>
      </w:pPr>
      <w:r>
        <w:t xml:space="preserve">Hoe rijmt u het besluit om vrouwen terug te sturen naar Afghanistan met het aansprakelijk stellen van Afghanistan voor het niet-nakomen van zijn verplichtingen onder het Verdrag inzake uitbanning van alle vormen van discriminatie van vrouwen (Vrouwenverdrag)?</w:t>
      </w:r>
      <w:r>
        <w:br/>
      </w:r>
      <w:r>
        <w:t xml:space="preserve"> </w:t>
      </w:r>
      <w:r>
        <w:br/>
      </w:r>
    </w:p>
    <w:p>
      <w:pPr>
        <w:pStyle w:val="ListParagraph"/>
        <w:numPr>
          <w:ilvl w:val="0"/>
          <w:numId w:val="100489290"/>
        </w:numPr>
        <w:ind w:left="360"/>
      </w:pPr>
      <w:r>
        <w:t xml:space="preserve">Bent u zich bewust van het feit dat de Dienst Terugkeer en Vertrek aangeeft dat gedwongen terugkeer niet mogelijk is met betrekking tot Afghanistan?</w:t>
      </w:r>
      <w:r>
        <w:br/>
      </w:r>
      <w:r>
        <w:t xml:space="preserve"> </w:t>
      </w:r>
      <w:r>
        <w:br/>
      </w:r>
    </w:p>
    <w:p>
      <w:pPr>
        <w:pStyle w:val="ListParagraph"/>
        <w:numPr>
          <w:ilvl w:val="0"/>
          <w:numId w:val="100489290"/>
        </w:numPr>
        <w:ind w:left="360"/>
      </w:pPr>
      <w:r>
        <w:t xml:space="preserve">Zo ja, hoe valt dit feit te rijmen met de voorgenomen uitzetting van meerdere vrouwen naar Afghanistan?</w:t>
      </w:r>
      <w:r>
        <w:br/>
      </w:r>
      <w:r>
        <w:t xml:space="preserve"> </w:t>
      </w:r>
      <w:r>
        <w:br/>
      </w:r>
    </w:p>
    <w:p>
      <w:pPr>
        <w:pStyle w:val="ListParagraph"/>
        <w:numPr>
          <w:ilvl w:val="0"/>
          <w:numId w:val="100489290"/>
        </w:numPr>
        <w:ind w:left="360"/>
      </w:pPr>
      <w:r>
        <w:t xml:space="preserve">Op basis van welke maatstaven oordeelt de Immigratie- en Naturalisatiedienst (IND) of vrouwen al dan niet zouden passen in de samenleving waar zij volgens de IND naartoe teruggestuurd zouden moeten worden?</w:t>
      </w:r>
      <w:r>
        <w:br/>
      </w:r>
      <w:r>
        <w:t xml:space="preserve"> </w:t>
      </w:r>
      <w:r>
        <w:br/>
      </w:r>
    </w:p>
    <w:p>
      <w:pPr>
        <w:pStyle w:val="ListParagraph"/>
        <w:numPr>
          <w:ilvl w:val="0"/>
          <w:numId w:val="100489290"/>
        </w:numPr>
        <w:ind w:left="360"/>
      </w:pPr>
      <w:r>
        <w:t xml:space="preserve">Bent u op de hoogte van het feit dat vrouwen en meisjes die terugkeren na een verblijf in een westers land als ‘verwesterd’ gezien kunnen worden en dat zij daardoor gevaar lopen?</w:t>
      </w:r>
      <w:r>
        <w:br/>
      </w:r>
      <w:r>
        <w:t xml:space="preserve"> </w:t>
      </w:r>
      <w:r>
        <w:br/>
      </w:r>
    </w:p>
    <w:p>
      <w:pPr>
        <w:pStyle w:val="ListParagraph"/>
        <w:numPr>
          <w:ilvl w:val="0"/>
          <w:numId w:val="100489290"/>
        </w:numPr>
        <w:ind w:left="360"/>
      </w:pPr>
      <w:r>
        <w:t xml:space="preserve">Bent u zich ervan bewust dat de rechtbank in Den Haag heeft geoordeeld dat de IND de Afghaanse vrouw van 79 jaar, zoals genoemd in het artikel, niet mag uitzetten naar Afghanistan? Zo ja, waarom staat u het toe dat de IND hierin alsnog volhardt?</w:t>
      </w:r>
      <w:r>
        <w:br/>
      </w:r>
      <w:r>
        <w:t xml:space="preserve"> </w:t>
      </w:r>
      <w:r>
        <w:br/>
      </w:r>
    </w:p>
    <w:p>
      <w:pPr>
        <w:pStyle w:val="ListParagraph"/>
        <w:numPr>
          <w:ilvl w:val="0"/>
          <w:numId w:val="100489290"/>
        </w:numPr>
        <w:ind w:left="360"/>
      </w:pPr>
      <w:r>
        <w:t xml:space="preserve">Klopt het dat de minister van Asiel en Migratie op basis van Art. 42 GW verantwoordelijkheid draagt voor het gevoerde beleid van de IND?</w:t>
      </w:r>
      <w:r>
        <w:br/>
      </w:r>
      <w:r>
        <w:t xml:space="preserve"> </w:t>
      </w:r>
      <w:r>
        <w:br/>
      </w:r>
    </w:p>
    <w:p>
      <w:pPr>
        <w:pStyle w:val="ListParagraph"/>
        <w:numPr>
          <w:ilvl w:val="0"/>
          <w:numId w:val="100489290"/>
        </w:numPr>
        <w:ind w:left="360"/>
      </w:pPr>
      <w:r>
        <w:t xml:space="preserve">Bent u bereid de besluiten van de IND inzake het terugsturen van vrouwen naar Afghanistan te voorkomen dan wel terug te draaien?</w:t>
      </w:r>
      <w:r>
        <w:br/>
      </w:r>
      <w:r>
        <w:t xml:space="preserve"> </w:t>
      </w:r>
      <w:r>
        <w:br/>
      </w:r>
    </w:p>
    <w:p>
      <w:pPr>
        <w:pStyle w:val="ListParagraph"/>
        <w:numPr>
          <w:ilvl w:val="0"/>
          <w:numId w:val="100489290"/>
        </w:numPr>
        <w:ind w:left="360"/>
      </w:pPr>
      <w:r>
        <w:t xml:space="preserve"> Kunt u de vragen een voor een en met spoed beantwoorden?</w:t>
      </w:r>
      <w:r>
        <w:br/>
      </w:r>
    </w:p>
    <w:p>
      <w:r>
        <w:t xml:space="preserve"> </w:t>
      </w:r>
      <w:r>
        <w:br/>
      </w:r>
    </w:p>
    <w:p>
      <w:r>
        <w:t xml:space="preserve">1) Trouw, 27 oktober 2025, 'Kabinet stuurt vrouwen terug naar Taliban in Afghanistan', www.trouw.nl/binnenland/kabinet-stuurt-vrouwen-terug-naar-taliban-in-afghanistan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280">
    <w:abstractNumId w:val="100489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