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2025Z19271</w:t>
        <w:br/>
      </w:r>
      <w:proofErr w:type="spellEnd"/>
    </w:p>
    <w:p>
      <w:pPr>
        <w:pStyle w:val="Normal"/>
        <w:rPr>
          <w:b w:val="1"/>
          <w:bCs w:val="1"/>
        </w:rPr>
      </w:pPr>
      <w:r w:rsidR="250AE766">
        <w:rPr>
          <w:b w:val="0"/>
          <w:bCs w:val="0"/>
        </w:rPr>
        <w:t>(ingezonden 28 oktober 2025)</w:t>
        <w:br/>
      </w:r>
    </w:p>
    <w:p>
      <w:r>
        <w:t xml:space="preserve">Vragen van de leden Van Groningen en Veltman (beiden VVD) aan de minister van Infrastructuur en Waterstaat over de aanpak van lawaaibakken van verkeersaso’s.</w:t>
      </w:r>
      <w:r>
        <w:br/>
      </w:r>
    </w:p>
    <w:p>
      <w:r>
        <w:t xml:space="preserve"> </w:t>
      </w:r>
      <w:r>
        <w:br/>
      </w:r>
    </w:p>
    <w:p>
      <w:pPr>
        <w:pStyle w:val="ListParagraph"/>
        <w:numPr>
          <w:ilvl w:val="0"/>
          <w:numId w:val="100489320"/>
        </w:numPr>
        <w:ind w:left="360"/>
      </w:pPr>
      <w:r>
        <w:t xml:space="preserve">Bent u bekend met de TNO-studie[1], waaruit blijkt dat zogenoemde “lawaai-flitspalen” technisch en juridisch haalbaar zijn, mits de wetgeving wordt aangepast?</w:t>
      </w:r>
      <w:r>
        <w:br/>
      </w:r>
    </w:p>
    <w:p>
      <w:pPr>
        <w:pStyle w:val="ListParagraph"/>
        <w:numPr>
          <w:ilvl w:val="0"/>
          <w:numId w:val="100489320"/>
        </w:numPr>
        <w:ind w:left="360"/>
      </w:pPr>
      <w:r>
        <w:t xml:space="preserve">Deelt u de constatering dat geluidsoverlast door dit soort voertuigen en hun berijders tot grote ergernis, onveiligheidsgevoelens en slapeloze nachten leidt, met name in stedelijke gebieden zoals Rotterdam en Amsterdam?</w:t>
      </w:r>
      <w:r>
        <w:br/>
      </w:r>
    </w:p>
    <w:p>
      <w:pPr>
        <w:pStyle w:val="ListParagraph"/>
        <w:numPr>
          <w:ilvl w:val="0"/>
          <w:numId w:val="100489320"/>
        </w:numPr>
        <w:ind w:left="360"/>
      </w:pPr>
      <w:r>
        <w:t xml:space="preserve">Klopt het dat geluid momenteel geen verkeersovertreding is onder de Wegenverkeerswet, en dat daardoor handhaving onmogelijk is?</w:t>
      </w:r>
      <w:r>
        <w:br/>
      </w:r>
    </w:p>
    <w:p>
      <w:pPr>
        <w:pStyle w:val="ListParagraph"/>
        <w:numPr>
          <w:ilvl w:val="0"/>
          <w:numId w:val="100489320"/>
        </w:numPr>
        <w:ind w:left="360"/>
      </w:pPr>
      <w:r>
        <w:t xml:space="preserve">In hoeverre heeft u overwogen de wet aan te passen zodat het wel juridisch haalbaar wordt voor gemeenten om verkeersaso’s met hun knetterende uitlaten en ronkende motoren, naast verkeershandhaving op snelheid, alcohol en roodlicht, op hun gedrag aan te pakken?</w:t>
      </w:r>
      <w:r>
        <w:br/>
      </w:r>
    </w:p>
    <w:p>
      <w:pPr>
        <w:pStyle w:val="ListParagraph"/>
        <w:numPr>
          <w:ilvl w:val="0"/>
          <w:numId w:val="100489320"/>
        </w:numPr>
        <w:ind w:left="360"/>
      </w:pPr>
      <w:r>
        <w:t xml:space="preserve">Welke juridische en privacy aspecten moeten worden opgelost om dergelijke systemen verantwoord in te zetten?</w:t>
      </w:r>
      <w:r>
        <w:br/>
      </w:r>
    </w:p>
    <w:p>
      <w:pPr>
        <w:pStyle w:val="ListParagraph"/>
        <w:numPr>
          <w:ilvl w:val="0"/>
          <w:numId w:val="100489320"/>
        </w:numPr>
        <w:ind w:left="360"/>
      </w:pPr>
      <w:r>
        <w:t xml:space="preserve">Welke stappen zijn er sinds publicatie van het TNO-onderzoek gezet om de noodzakelijke wetswijzigingen voor te bereiden?</w:t>
      </w:r>
      <w:r>
        <w:br/>
      </w:r>
    </w:p>
    <w:p>
      <w:pPr>
        <w:pStyle w:val="ListParagraph"/>
        <w:numPr>
          <w:ilvl w:val="0"/>
          <w:numId w:val="100489320"/>
        </w:numPr>
        <w:ind w:left="360"/>
      </w:pPr>
      <w:r>
        <w:t xml:space="preserve">Kan de Kamer hier een tijdlijn van ontvangen?</w:t>
      </w:r>
      <w:r>
        <w:br/>
      </w:r>
    </w:p>
    <w:p>
      <w:pPr>
        <w:pStyle w:val="ListParagraph"/>
        <w:numPr>
          <w:ilvl w:val="0"/>
          <w:numId w:val="100489320"/>
        </w:numPr>
        <w:ind w:left="360"/>
      </w:pPr>
      <w:r>
        <w:t xml:space="preserve">Bent u voornemens om samen met de politie te onderzoeken of de gegevens uit lawaaiflitsers kunnen worden gekoppeld aan bestaande handhavingsmiddelen, zoals kentekenregistratie of geluidmetingen bij keuringen zoals bij de APK (RDW)?</w:t>
      </w:r>
      <w:r>
        <w:br/>
      </w:r>
    </w:p>
    <w:p>
      <w:pPr>
        <w:pStyle w:val="ListParagraph"/>
        <w:numPr>
          <w:ilvl w:val="0"/>
          <w:numId w:val="100489320"/>
        </w:numPr>
        <w:ind w:left="360"/>
      </w:pPr>
      <w:r>
        <w:t xml:space="preserve">Hoe verhoudt automatische geluidsregistratie zich tot de privacywetgeving (AVG), met name als kentekens ook worden geregistreerd?</w:t>
      </w:r>
      <w:r>
        <w:br/>
      </w:r>
    </w:p>
    <w:p>
      <w:pPr>
        <w:pStyle w:val="ListParagraph"/>
        <w:numPr>
          <w:ilvl w:val="0"/>
          <w:numId w:val="100489320"/>
        </w:numPr>
        <w:ind w:left="360"/>
      </w:pPr>
      <w:r>
        <w:t xml:space="preserve">Bent u bereid samen met het Openbaar Ministerie te verkennen hoe bewijs uit lawaaiflitsers juridisch houdbaar kan worden gemaakt in boete procedures?</w:t>
      </w:r>
      <w:r>
        <w:br/>
      </w:r>
    </w:p>
    <w:p>
      <w:pPr>
        <w:pStyle w:val="ListParagraph"/>
        <w:numPr>
          <w:ilvl w:val="0"/>
          <w:numId w:val="100489320"/>
        </w:numPr>
        <w:ind w:left="360"/>
      </w:pPr>
      <w:r>
        <w:t xml:space="preserve">Ziet u, gezien het feit dat in 2023 er al diverse pilots zijn gedaan in bijvoorbeeld Rotterdam en Amsterdam en het probleem sindsdien niet minder is geworden, mogelijkheden om parallel aan het wetgevingstraject alvast proefprojecten met beboeting te starten onder bijvoorbeeld experimenteerwetgeving verkeersveiligheid?</w:t>
      </w:r>
      <w:r>
        <w:br/>
      </w:r>
    </w:p>
    <w:p>
      <w:pPr>
        <w:pStyle w:val="ListParagraph"/>
        <w:numPr>
          <w:ilvl w:val="0"/>
          <w:numId w:val="100489320"/>
        </w:numPr>
        <w:ind w:left="360"/>
      </w:pPr>
      <w:r>
        <w:t xml:space="preserve">Kunt u toelichten, omdat recent in Europa nieuwe regels zijn vastgesteld die het verwijderen of manipuleren van zogeheten dB-killers in uitlaten expliciet verbieden[2], hoe deze regels in Nederland worden gehandhaafd?</w:t>
      </w:r>
      <w:r>
        <w:br/>
      </w:r>
    </w:p>
    <w:p>
      <w:pPr>
        <w:pStyle w:val="ListParagraph"/>
        <w:numPr>
          <w:ilvl w:val="0"/>
          <w:numId w:val="100489320"/>
        </w:numPr>
        <w:ind w:left="360"/>
      </w:pPr>
      <w:r>
        <w:t xml:space="preserve">Kunt u aangeven in hoeverre garages, importeurs en after-marktaanbieders hierop worden gecontroleerd?</w:t>
      </w:r>
      <w:r>
        <w:br/>
      </w:r>
    </w:p>
    <w:p>
      <w:pPr>
        <w:pStyle w:val="ListParagraph"/>
        <w:numPr>
          <w:ilvl w:val="0"/>
          <w:numId w:val="100489320"/>
        </w:numPr>
        <w:ind w:left="360"/>
      </w:pPr>
      <w:r>
        <w:t xml:space="preserve">Acht u het wenselijk dat deze Europese lijn, gericht op het voorkomen van manipulatie aan de bron, wordt gekoppeld aan nationale handhaving, bijvoorbeeld via de RDW (Dienst Wegverkeer)/keuring en toezicht op import, zodat lawaaiflitsers straks niet alleen registreren maar er ook minder illegale uitlaten op straat verschijnen? Zo ja, op welke wijze?</w:t>
      </w:r>
      <w:r>
        <w:br/>
      </w:r>
    </w:p>
    <w:p>
      <w:r>
        <w:t xml:space="preserve"> </w:t>
      </w:r>
      <w:r>
        <w:br/>
      </w:r>
    </w:p>
    <w:p>
      <w:r>
        <w:t xml:space="preserve"> </w:t>
      </w:r>
      <w:r>
        <w:br/>
      </w:r>
    </w:p>
    <w:p>
      <w:r>
        <w:t xml:space="preserve">[1] TNO, april 2024, Haalbaarheid van de geluidflitspaal in Nederland</w:t>
      </w:r>
      <w:r>
        <w:br/>
      </w:r>
    </w:p>
    <w:p>
      <w:r>
        <w:t xml:space="preserve">[2] motor.nl, 20 maart 2025, Nieuwe Europese regels verbieden verwijderen dB-killers in uitlaten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2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280">
    <w:abstractNumId w:val="1004892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