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93528" w14:paraId="68466FD8" w14:textId="77777777"/>
    <w:p w:rsidR="00493528" w14:paraId="713D962B" w14:textId="77777777">
      <w:r w:rsidRPr="003364F7">
        <w:t xml:space="preserve">Tijdens het Tweeminutendebat Jaarverslag 2024 Ministerie van Binnenlandse Zaken en Koninkrijksrelaties, </w:t>
      </w:r>
      <w:r w:rsidR="00D2195E">
        <w:t xml:space="preserve">op </w:t>
      </w:r>
      <w:r w:rsidRPr="003364F7">
        <w:t>3 juli 2025 heeft de Tweede Kamer de motie</w:t>
      </w:r>
      <w:r w:rsidR="00D2195E">
        <w:t>-</w:t>
      </w:r>
      <w:r w:rsidRPr="003364F7">
        <w:t xml:space="preserve">Sneller aangenomen (Kamerstuk II 2024/25, 36740 VII, nr. 33), waarin de regering wordt verzocht om conform de aanbeveling van de Auditdienst Rijk, verder in kaart te brengen op welke wijze de primaire arbeidsvoorwaarden aangepast zouden moeten worden en welke wijzigingen van het functiegebouw eventueel </w:t>
      </w:r>
      <w:r w:rsidR="00D2195E">
        <w:t>nodig zouden zijn in relatie tot het in huis halen van ICT-capaciteit bij het Rijk</w:t>
      </w:r>
      <w:r w:rsidRPr="003364F7">
        <w:t xml:space="preserve">. </w:t>
      </w:r>
      <w:r w:rsidR="00D73EA2">
        <w:t>Met deze brief geef ik u aan op welke wijze het kabinet aan de motie uitvoering geeft.</w:t>
      </w:r>
    </w:p>
    <w:p w:rsidR="00493528" w14:paraId="62B6F49E" w14:textId="77777777"/>
    <w:p w:rsidR="00493528" w14:paraId="1FD33B20" w14:textId="77777777">
      <w:r>
        <w:t>De werkgever Rijksoverheid heeft in bepaalde beroepsgroepen, waaronder ICT, moeite om personeel aan te trekken. Arbeidsvoorwaarden, primair en secundair, zijn een belangrijk aspect. Nochtans is in het rapport van de Auditdienst Rijk ook aangegeven dat dit niet het enige aspect</w:t>
      </w:r>
      <w:r w:rsidR="0023143E">
        <w:t xml:space="preserve"> is</w:t>
      </w:r>
      <w:r>
        <w:t xml:space="preserve"> om bij de Rijksoverheid te werken.</w:t>
      </w:r>
    </w:p>
    <w:p w:rsidR="00493528" w14:paraId="058FF96B" w14:textId="77777777"/>
    <w:p w:rsidR="00493528" w14:paraId="7F603996" w14:textId="77777777">
      <w:r>
        <w:t>Wat beloning betreft hebben sociale partners in de CAO Rijk afgesproken gezamenlijk te werken aan een verbeterd en geactualiseerd functiewaarderingssysteem – FUWA Rijk - dat meer recht doet aan de intensiteit en complexiteit van functies in de uitvoering. Het nieuwe FUWA-Rijk richt zich niet specifiek op één groep functies. Sociale partners willen in een cao-akkoord 2026 over de invoering van FUWA-Rijk afspraken maken.</w:t>
      </w:r>
    </w:p>
    <w:p w:rsidR="00493528" w14:paraId="298E26C8" w14:textId="77777777"/>
    <w:p w:rsidR="00493528" w14:paraId="4D7280BA" w14:textId="77777777">
      <w:r>
        <w:t>Voor de goede orde moet worden vermeld, dat voor de omgang met arbeidsmarktkrapte in bepaalde functies andere instrumenten beschikbaar zijn, zoals arbeidsmarkt toelages. In dit kader verwijs ik u ook naar de Kamerbrief Terugdringen externe inhuur (2025-0000217899) d.d. 2 april 2025. In de brief worden de volgende maatregelen genoemd: gerichte regie op ICT</w:t>
      </w:r>
      <w:r w:rsidR="00D2195E">
        <w:t>-</w:t>
      </w:r>
      <w:r>
        <w:t xml:space="preserve">capaciteit en personeelsontwikkeling, instroom van nieuw talent als oplossing voor kennis- en capaciteitsbehoud, stimuleren gebruik interne </w:t>
      </w:r>
      <w:r>
        <w:t>ICT pools</w:t>
      </w:r>
      <w:r>
        <w:t>, positionering als concurrerende ICT</w:t>
      </w:r>
      <w:r w:rsidR="00D2195E">
        <w:t>-</w:t>
      </w:r>
      <w:r>
        <w:t>werkgever en duurzame ontwikkeling en retentie van ICT</w:t>
      </w:r>
      <w:r w:rsidR="00D2195E">
        <w:t>-</w:t>
      </w:r>
      <w:r>
        <w:t>talent.</w:t>
      </w:r>
    </w:p>
    <w:p w:rsidR="00493528" w14:paraId="3CC130A5" w14:textId="77777777"/>
    <w:p w:rsidR="00493528" w14:paraId="5A73F1F2" w14:textId="77777777">
      <w:r>
        <w:t xml:space="preserve">De werkgever Rijksoverheid zal naast deze inzet om de arbeidsmarktkrapte te lijf te gaan, de invoering van FUWA-Rijk en normaal gesproken ook een </w:t>
      </w:r>
      <w:r w:rsidR="00D332E7">
        <w:t xml:space="preserve">verbetering van arbeidsvoorwaarden </w:t>
      </w:r>
      <w:r>
        <w:t xml:space="preserve">in haar inzet voor een nieuwe CAO Rijk willen opnemen. Echter, gelet op de </w:t>
      </w:r>
      <w:r w:rsidR="00D332E7">
        <w:t xml:space="preserve">beperkingen die in het </w:t>
      </w:r>
      <w:r>
        <w:t xml:space="preserve">Hoofdlijnenakkoord </w:t>
      </w:r>
      <w:r w:rsidR="00D332E7">
        <w:t>van het kabinet voor de salarisontwikkeling van rijksambtenaren zijn</w:t>
      </w:r>
      <w:r>
        <w:t xml:space="preserve"> opgenomen, is niet op voorhand te zeggen dat met bonden een akkoord kan worden bereikt waarin </w:t>
      </w:r>
      <w:r>
        <w:t>zowel de lonen worden bijgesteld als het nieuwe FUWA-Rijk kan worden ingevoerd. Vanwege de beperkte loonruimte</w:t>
      </w:r>
      <w:r w:rsidR="00D332E7">
        <w:t>, is de verwachting,</w:t>
      </w:r>
      <w:r>
        <w:t xml:space="preserve"> </w:t>
      </w:r>
      <w:r w:rsidR="00D332E7">
        <w:t>dat</w:t>
      </w:r>
      <w:r>
        <w:t xml:space="preserve"> er verschillen, onder andere bij </w:t>
      </w:r>
      <w:r>
        <w:t>ICT functies</w:t>
      </w:r>
      <w:r w:rsidR="00D332E7">
        <w:t>,</w:t>
      </w:r>
      <w:r>
        <w:t xml:space="preserve"> maar ook elders,</w:t>
      </w:r>
      <w:r w:rsidR="00D332E7">
        <w:t xml:space="preserve"> zoals bijvoorbeeld het veiligheidsdomein,</w:t>
      </w:r>
      <w:r>
        <w:t xml:space="preserve"> met de markt blijven bestaan.</w:t>
      </w:r>
    </w:p>
    <w:p w:rsidR="00493528" w14:paraId="2D15C01C" w14:textId="77777777"/>
    <w:p w:rsidR="00493528" w14:paraId="3677BAEE" w14:textId="77777777"/>
    <w:p w:rsidR="00493528" w14:paraId="2A4AFE40" w14:textId="77777777">
      <w:r>
        <w:t xml:space="preserve">De </w:t>
      </w:r>
      <w:r w:rsidR="00C32803">
        <w:t>m</w:t>
      </w:r>
      <w:r>
        <w:t>inister van Binnenlandse Zaken en Koninkrijksrelaties</w:t>
      </w:r>
      <w:r>
        <w:rPr>
          <w:i/>
        </w:rPr>
        <w:t>,</w:t>
      </w:r>
    </w:p>
    <w:p w:rsidR="00493528" w14:paraId="1A08A329" w14:textId="77777777"/>
    <w:p w:rsidR="00493528" w14:paraId="5868216D" w14:textId="77777777"/>
    <w:p w:rsidR="00493528" w14:paraId="2DD74204" w14:textId="77777777"/>
    <w:p w:rsidR="00493528" w14:paraId="360C711D" w14:textId="77777777">
      <w:r>
        <w:br/>
      </w:r>
    </w:p>
    <w:p w:rsidR="00493528" w14:paraId="165C4153" w14:textId="77777777">
      <w:r>
        <w:t>F. Rijkaart</w:t>
      </w:r>
    </w:p>
    <w:p w:rsidR="00493528" w14:paraId="6C42D42F" w14:textId="77777777"/>
    <w:p w:rsidR="00493528" w14:paraId="5AD2F068"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528" w14:paraId="06D3C5E2"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528" w14:paraId="3E02B29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93528" w14:textId="77777777">
                          <w:pPr>
                            <w:pStyle w:val="Referentiegegevensbold"/>
                          </w:pPr>
                          <w:r>
                            <w:t>DGDOO</w:t>
                          </w:r>
                        </w:p>
                        <w:p w:rsidR="00493528" w14:textId="77777777">
                          <w:pPr>
                            <w:pStyle w:val="Referentiegegevens"/>
                          </w:pPr>
                          <w:r>
                            <w:t>Directie Ambtenaar &amp; Organisatie</w:t>
                          </w:r>
                        </w:p>
                        <w:p w:rsidR="00493528" w14:textId="77777777">
                          <w:pPr>
                            <w:pStyle w:val="WitregelW2"/>
                          </w:pPr>
                        </w:p>
                        <w:p w:rsidR="00493528" w14:textId="77777777">
                          <w:pPr>
                            <w:pStyle w:val="Referentiegegevensbold"/>
                          </w:pPr>
                          <w:r>
                            <w:t>Datum</w:t>
                          </w:r>
                        </w:p>
                        <w:p w:rsidR="00493528" w14:textId="77777777">
                          <w:pPr>
                            <w:pStyle w:val="Referentiegegevens"/>
                          </w:pPr>
                          <w:sdt>
                            <w:sdtPr>
                              <w:id w:val="-1204940119"/>
                              <w:showingPlcHdr/>
                              <w:date w:fullDate="2025-10-07T11:23:00Z">
                                <w:dateFormat w:val="d MMMM yyyy"/>
                                <w:lid w:val="nl"/>
                                <w:storeMappedDataAs w:val="dateTime"/>
                                <w:calendar w:val="gregorian"/>
                              </w:date>
                            </w:sdtPr>
                            <w:sdtContent>
                              <w:r w:rsidR="00C32803">
                                <w:t xml:space="preserve">     </w:t>
                              </w:r>
                            </w:sdtContent>
                          </w:sdt>
                        </w:p>
                        <w:p w:rsidR="00493528" w14:textId="77777777">
                          <w:pPr>
                            <w:pStyle w:val="WitregelW1"/>
                          </w:pPr>
                        </w:p>
                        <w:p w:rsidR="00493528" w14:textId="77777777">
                          <w:pPr>
                            <w:pStyle w:val="Referentiegegevensbold"/>
                          </w:pPr>
                          <w:r>
                            <w:t>Onze referentie</w:t>
                          </w:r>
                        </w:p>
                        <w:p w:rsidR="00373792" w14:textId="291462AE">
                          <w:pPr>
                            <w:pStyle w:val="Referentiegegevens"/>
                          </w:pPr>
                          <w:r>
                            <w:fldChar w:fldCharType="begin"/>
                          </w:r>
                          <w:r>
                            <w:instrText xml:space="preserve"> DOCPROPERTY  "Kenmerk"  \* MERGEFORMAT </w:instrText>
                          </w:r>
                          <w:r>
                            <w:fldChar w:fldCharType="separate"/>
                          </w:r>
                          <w:r w:rsidR="00AA2E06">
                            <w:t>2025-0000586313</w:t>
                          </w:r>
                          <w:r w:rsidR="00AA2E0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93528" w14:paraId="7220AA9D" w14:textId="77777777">
                    <w:pPr>
                      <w:pStyle w:val="Referentiegegevensbold"/>
                    </w:pPr>
                    <w:r>
                      <w:t>DGDOO</w:t>
                    </w:r>
                  </w:p>
                  <w:p w:rsidR="00493528" w14:paraId="6A3E420B" w14:textId="77777777">
                    <w:pPr>
                      <w:pStyle w:val="Referentiegegevens"/>
                    </w:pPr>
                    <w:r>
                      <w:t>Directie Ambtenaar &amp; Organisatie</w:t>
                    </w:r>
                  </w:p>
                  <w:p w:rsidR="00493528" w14:paraId="71788752" w14:textId="77777777">
                    <w:pPr>
                      <w:pStyle w:val="WitregelW2"/>
                    </w:pPr>
                  </w:p>
                  <w:p w:rsidR="00493528" w14:paraId="37EC4123" w14:textId="77777777">
                    <w:pPr>
                      <w:pStyle w:val="Referentiegegevensbold"/>
                    </w:pPr>
                    <w:r>
                      <w:t>Datum</w:t>
                    </w:r>
                  </w:p>
                  <w:p w:rsidR="00493528" w14:paraId="7D8BA85D" w14:textId="77777777">
                    <w:pPr>
                      <w:pStyle w:val="Referentiegegevens"/>
                    </w:pPr>
                    <w:sdt>
                      <w:sdtPr>
                        <w:id w:val="468460213"/>
                        <w:showingPlcHdr/>
                        <w:date w:fullDate="2025-10-07T11:23:00Z">
                          <w:dateFormat w:val="d MMMM yyyy"/>
                          <w:lid w:val="nl"/>
                          <w:storeMappedDataAs w:val="dateTime"/>
                          <w:calendar w:val="gregorian"/>
                        </w:date>
                      </w:sdtPr>
                      <w:sdtContent>
                        <w:r w:rsidR="00C32803">
                          <w:t xml:space="preserve">     </w:t>
                        </w:r>
                      </w:sdtContent>
                    </w:sdt>
                  </w:p>
                  <w:p w:rsidR="00493528" w14:paraId="71C6F104" w14:textId="77777777">
                    <w:pPr>
                      <w:pStyle w:val="WitregelW1"/>
                    </w:pPr>
                  </w:p>
                  <w:p w:rsidR="00493528" w14:paraId="781922C2" w14:textId="77777777">
                    <w:pPr>
                      <w:pStyle w:val="Referentiegegevensbold"/>
                    </w:pPr>
                    <w:r>
                      <w:t>Onze referentie</w:t>
                    </w:r>
                  </w:p>
                  <w:p w:rsidR="00373792" w14:paraId="77575380" w14:textId="291462AE">
                    <w:pPr>
                      <w:pStyle w:val="Referentiegegevens"/>
                    </w:pPr>
                    <w:r>
                      <w:fldChar w:fldCharType="begin"/>
                    </w:r>
                    <w:r>
                      <w:instrText xml:space="preserve"> DOCPROPERTY  "Kenmerk"  \* MERGEFORMAT </w:instrText>
                    </w:r>
                    <w:r>
                      <w:fldChar w:fldCharType="separate"/>
                    </w:r>
                    <w:r w:rsidR="00AA2E06">
                      <w:t>2025-0000586313</w:t>
                    </w:r>
                    <w:r w:rsidR="00AA2E0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73EA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73EA2" w14:paraId="541F3C2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7379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73792" w14:paraId="36A8F8B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528" w14:paraId="171EB8D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93528" w14:textId="77777777">
                          <w:r>
                            <w:t>Aan de Voorzitter van de Tweede Kamer der Staten-Generaal</w:t>
                          </w:r>
                        </w:p>
                        <w:p w:rsidR="00493528" w14:textId="77777777">
                          <w:r>
                            <w:t>Postbus 20018</w:t>
                          </w:r>
                        </w:p>
                        <w:p w:rsidR="00493528" w14:textId="77777777">
                          <w:r>
                            <w:t>2500 EA  DEN HAAG</w:t>
                          </w:r>
                        </w:p>
                        <w:p w:rsidR="0049352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93528" w14:paraId="41273BD2" w14:textId="77777777">
                    <w:r>
                      <w:t>Aan de Voorzitter van de Tweede Kamer der Staten-Generaal</w:t>
                    </w:r>
                  </w:p>
                  <w:p w:rsidR="00493528" w14:paraId="192EADF3" w14:textId="77777777">
                    <w:r>
                      <w:t>Postbus 20018</w:t>
                    </w:r>
                  </w:p>
                  <w:p w:rsidR="00493528" w14:paraId="2ED401C5" w14:textId="77777777">
                    <w:r>
                      <w:t>2500 EA  DEN HAAG</w:t>
                    </w:r>
                  </w:p>
                  <w:p w:rsidR="00493528" w14:paraId="1654A8C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3352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35280"/>
                      </a:xfrm>
                      <a:prstGeom prst="rect">
                        <a:avLst/>
                      </a:prstGeom>
                      <a:noFill/>
                    </wps:spPr>
                    <wps:txbx>
                      <w:txbxContent>
                        <w:tbl>
                          <w:tblPr>
                            <w:tblW w:w="0" w:type="auto"/>
                            <w:tblInd w:w="-120" w:type="dxa"/>
                            <w:tblLayout w:type="fixed"/>
                            <w:tblLook w:val="07E0"/>
                          </w:tblPr>
                          <w:tblGrid>
                            <w:gridCol w:w="1140"/>
                            <w:gridCol w:w="5918"/>
                          </w:tblGrid>
                          <w:tr w14:paraId="2BB38CEF" w14:textId="77777777">
                            <w:tblPrEx>
                              <w:tblW w:w="0" w:type="auto"/>
                              <w:tblInd w:w="-120" w:type="dxa"/>
                              <w:tblLayout w:type="fixed"/>
                              <w:tblLook w:val="07E0"/>
                            </w:tblPrEx>
                            <w:trPr>
                              <w:trHeight w:val="240"/>
                            </w:trPr>
                            <w:tc>
                              <w:tcPr>
                                <w:tcW w:w="1140" w:type="dxa"/>
                              </w:tcPr>
                              <w:p w:rsidR="00493528" w14:textId="77777777">
                                <w:r>
                                  <w:t>Datum</w:t>
                                </w:r>
                              </w:p>
                            </w:tc>
                            <w:tc>
                              <w:tcPr>
                                <w:tcW w:w="5918" w:type="dxa"/>
                              </w:tcPr>
                              <w:p w:rsidR="00493528" w14:textId="531F75AD">
                                <w:r>
                                  <w:t>3 november 2025</w:t>
                                </w:r>
                              </w:p>
                            </w:tc>
                          </w:tr>
                          <w:tr w14:paraId="5EFCC016" w14:textId="77777777">
                            <w:tblPrEx>
                              <w:tblW w:w="0" w:type="auto"/>
                              <w:tblInd w:w="-120" w:type="dxa"/>
                              <w:tblLayout w:type="fixed"/>
                              <w:tblLook w:val="07E0"/>
                            </w:tblPrEx>
                            <w:trPr>
                              <w:trHeight w:val="240"/>
                            </w:trPr>
                            <w:tc>
                              <w:tcPr>
                                <w:tcW w:w="1140" w:type="dxa"/>
                              </w:tcPr>
                              <w:p w:rsidR="00493528" w14:textId="77777777">
                                <w:bookmarkStart w:id="0" w:name="_Hlk213059125"/>
                                <w:r>
                                  <w:t>Betreft</w:t>
                                </w:r>
                              </w:p>
                            </w:tc>
                            <w:tc>
                              <w:tcPr>
                                <w:tcW w:w="5918" w:type="dxa"/>
                              </w:tcPr>
                              <w:p w:rsidR="00493528" w14:textId="77777777">
                                <w:r>
                                  <w:t xml:space="preserve">Motie Sneller (D66), Kamerstuk II 2024/25, 36740 VII, nr. 33 </w:t>
                                </w:r>
                              </w:p>
                            </w:tc>
                          </w:tr>
                          <w:bookmarkEnd w:id="0"/>
                        </w:tbl>
                        <w:p w:rsidR="00D73EA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6.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B38CEE" w14:textId="77777777">
                      <w:tblPrEx>
                        <w:tblW w:w="0" w:type="auto"/>
                        <w:tblInd w:w="-120" w:type="dxa"/>
                        <w:tblLayout w:type="fixed"/>
                        <w:tblLook w:val="07E0"/>
                      </w:tblPrEx>
                      <w:trPr>
                        <w:trHeight w:val="240"/>
                      </w:trPr>
                      <w:tc>
                        <w:tcPr>
                          <w:tcW w:w="1140" w:type="dxa"/>
                        </w:tcPr>
                        <w:p w:rsidR="00493528" w14:paraId="2AFCE32E" w14:textId="77777777">
                          <w:r>
                            <w:t>Datum</w:t>
                          </w:r>
                        </w:p>
                      </w:tc>
                      <w:tc>
                        <w:tcPr>
                          <w:tcW w:w="5918" w:type="dxa"/>
                        </w:tcPr>
                        <w:p w:rsidR="00493528" w14:paraId="42A41482" w14:textId="531F75AD">
                          <w:r>
                            <w:t>3 november 2025</w:t>
                          </w:r>
                        </w:p>
                      </w:tc>
                    </w:tr>
                    <w:tr w14:paraId="5EFCC015" w14:textId="77777777">
                      <w:tblPrEx>
                        <w:tblW w:w="0" w:type="auto"/>
                        <w:tblInd w:w="-120" w:type="dxa"/>
                        <w:tblLayout w:type="fixed"/>
                        <w:tblLook w:val="07E0"/>
                      </w:tblPrEx>
                      <w:trPr>
                        <w:trHeight w:val="240"/>
                      </w:trPr>
                      <w:tc>
                        <w:tcPr>
                          <w:tcW w:w="1140" w:type="dxa"/>
                        </w:tcPr>
                        <w:p w:rsidR="00493528" w14:paraId="223247CD" w14:textId="77777777">
                          <w:bookmarkStart w:id="0" w:name="_Hlk213059125"/>
                          <w:r>
                            <w:t>Betreft</w:t>
                          </w:r>
                        </w:p>
                      </w:tc>
                      <w:tc>
                        <w:tcPr>
                          <w:tcW w:w="5918" w:type="dxa"/>
                        </w:tcPr>
                        <w:p w:rsidR="00493528" w14:paraId="7DF945EE" w14:textId="77777777">
                          <w:r>
                            <w:t xml:space="preserve">Motie Sneller (D66), Kamerstuk II 2024/25, 36740 VII, nr. 33 </w:t>
                          </w:r>
                        </w:p>
                      </w:tc>
                    </w:tr>
                    <w:bookmarkEnd w:id="0"/>
                  </w:tbl>
                  <w:p w:rsidR="00D73EA2" w14:paraId="2161D2F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93528" w14:textId="77777777">
                          <w:pPr>
                            <w:pStyle w:val="Referentiegegevensbold"/>
                          </w:pPr>
                          <w:r>
                            <w:t>DGDOO</w:t>
                          </w:r>
                        </w:p>
                        <w:p w:rsidR="00493528" w14:textId="77777777">
                          <w:pPr>
                            <w:pStyle w:val="Referentiegegevens"/>
                          </w:pPr>
                          <w:r>
                            <w:t>Directie Ambtenaar &amp; Organisatie</w:t>
                          </w:r>
                        </w:p>
                        <w:p w:rsidR="00493528" w14:textId="77777777">
                          <w:pPr>
                            <w:pStyle w:val="WitregelW1"/>
                          </w:pPr>
                        </w:p>
                        <w:p w:rsidR="00493528" w14:textId="77777777">
                          <w:pPr>
                            <w:pStyle w:val="Referentiegegevens"/>
                          </w:pPr>
                          <w:r>
                            <w:t>Turfmarkt 147</w:t>
                          </w:r>
                        </w:p>
                        <w:p w:rsidR="00493528" w:rsidRPr="00D73EA2" w14:textId="77777777">
                          <w:pPr>
                            <w:pStyle w:val="Referentiegegevens"/>
                            <w:rPr>
                              <w:lang w:val="de-DE"/>
                            </w:rPr>
                          </w:pPr>
                          <w:r w:rsidRPr="00D73EA2">
                            <w:rPr>
                              <w:lang w:val="de-DE"/>
                            </w:rPr>
                            <w:t>2511 DP Den Haag</w:t>
                          </w:r>
                        </w:p>
                        <w:p w:rsidR="00493528" w:rsidRPr="00D73EA2" w14:textId="77777777">
                          <w:pPr>
                            <w:pStyle w:val="Referentiegegevens"/>
                            <w:rPr>
                              <w:lang w:val="de-DE"/>
                            </w:rPr>
                          </w:pPr>
                          <w:r w:rsidRPr="00D73EA2">
                            <w:rPr>
                              <w:lang w:val="de-DE"/>
                            </w:rPr>
                            <w:t>Postbus 20011</w:t>
                          </w:r>
                        </w:p>
                        <w:p w:rsidR="00493528" w:rsidRPr="00D73EA2" w14:textId="77777777">
                          <w:pPr>
                            <w:pStyle w:val="Referentiegegevens"/>
                            <w:rPr>
                              <w:lang w:val="de-DE"/>
                            </w:rPr>
                          </w:pPr>
                          <w:r w:rsidRPr="00D73EA2">
                            <w:rPr>
                              <w:lang w:val="de-DE"/>
                            </w:rPr>
                            <w:t xml:space="preserve">2500 </w:t>
                          </w:r>
                          <w:r w:rsidRPr="00D73EA2">
                            <w:rPr>
                              <w:lang w:val="de-DE"/>
                            </w:rPr>
                            <w:t>EA  Den</w:t>
                          </w:r>
                          <w:r w:rsidRPr="00D73EA2">
                            <w:rPr>
                              <w:lang w:val="de-DE"/>
                            </w:rPr>
                            <w:t xml:space="preserve"> Haag</w:t>
                          </w:r>
                        </w:p>
                        <w:p w:rsidR="00493528" w:rsidRPr="00D73EA2" w14:textId="77777777">
                          <w:pPr>
                            <w:pStyle w:val="Referentiegegevens"/>
                            <w:rPr>
                              <w:lang w:val="de-DE"/>
                            </w:rPr>
                          </w:pPr>
                          <w:r w:rsidRPr="00D73EA2">
                            <w:rPr>
                              <w:lang w:val="de-DE"/>
                            </w:rPr>
                            <w:t>Nederland</w:t>
                          </w:r>
                        </w:p>
                        <w:p w:rsidR="00493528" w:rsidRPr="00D73EA2" w14:textId="77777777">
                          <w:pPr>
                            <w:pStyle w:val="Referentiegegevens"/>
                            <w:rPr>
                              <w:lang w:val="de-DE"/>
                            </w:rPr>
                          </w:pPr>
                          <w:r w:rsidRPr="00D73EA2">
                            <w:rPr>
                              <w:lang w:val="de-DE"/>
                            </w:rPr>
                            <w:t>www.rijksoverheid.nl</w:t>
                          </w:r>
                        </w:p>
                        <w:p w:rsidR="00493528" w:rsidRPr="00D73EA2" w14:textId="77777777">
                          <w:pPr>
                            <w:pStyle w:val="WitregelW2"/>
                            <w:rPr>
                              <w:lang w:val="de-DE"/>
                            </w:rPr>
                          </w:pPr>
                        </w:p>
                        <w:p w:rsidR="00493528" w14:textId="77777777">
                          <w:pPr>
                            <w:pStyle w:val="Referentiegegevensbold"/>
                          </w:pPr>
                          <w:r>
                            <w:t>Onze referentie</w:t>
                          </w:r>
                        </w:p>
                        <w:bookmarkStart w:id="1" w:name="_Hlk213059183"/>
                        <w:p w:rsidR="00373792" w14:textId="26DEFBE2">
                          <w:pPr>
                            <w:pStyle w:val="Referentiegegevens"/>
                          </w:pPr>
                          <w:r>
                            <w:fldChar w:fldCharType="begin"/>
                          </w:r>
                          <w:r>
                            <w:instrText xml:space="preserve"> DOCPROPERTY  "Kenmerk"  \* MERGEFORMAT </w:instrText>
                          </w:r>
                          <w:r>
                            <w:fldChar w:fldCharType="separate"/>
                          </w:r>
                          <w:r w:rsidR="00AA2E06">
                            <w:t>2025-0000586313</w:t>
                          </w:r>
                          <w:r>
                            <w:fldChar w:fldCharType="end"/>
                          </w:r>
                        </w:p>
                        <w:bookmarkEnd w:id="1"/>
                        <w:p w:rsidR="00493528" w14:textId="77777777">
                          <w:pPr>
                            <w:pStyle w:val="WitregelW1"/>
                          </w:pPr>
                        </w:p>
                        <w:p w:rsidR="00493528" w14:textId="77777777">
                          <w:pPr>
                            <w:pStyle w:val="Referentiegegevensbold"/>
                          </w:pPr>
                          <w:r>
                            <w:t>Uw referentie</w:t>
                          </w:r>
                        </w:p>
                        <w:p w:rsidR="00493528" w14:textId="77777777">
                          <w:pPr>
                            <w:pStyle w:val="Referentiegegevens"/>
                          </w:pPr>
                          <w:r>
                            <w:t>-</w:t>
                          </w:r>
                        </w:p>
                        <w:p w:rsidR="00493528" w14:textId="77777777">
                          <w:pPr>
                            <w:pStyle w:val="WitregelW1"/>
                          </w:pPr>
                        </w:p>
                        <w:p w:rsidR="00493528" w14:textId="77777777">
                          <w:pPr>
                            <w:pStyle w:val="Referentiegegevensbold"/>
                          </w:pPr>
                          <w:r>
                            <w:t>Bijlage(n)</w:t>
                          </w:r>
                        </w:p>
                        <w:p w:rsidR="00493528" w14:textId="77777777">
                          <w:pPr>
                            <w:pStyle w:val="Referentiegegevens"/>
                          </w:pPr>
                          <w:r>
                            <w:t>1</w:t>
                          </w:r>
                        </w:p>
                        <w:p w:rsidR="00493528" w14:textId="77777777">
                          <w:pPr>
                            <w:pStyle w:val="WitregelW2"/>
                          </w:pPr>
                        </w:p>
                        <w:p w:rsidR="0049352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93528" w14:paraId="67FB05AA" w14:textId="77777777">
                    <w:pPr>
                      <w:pStyle w:val="Referentiegegevensbold"/>
                    </w:pPr>
                    <w:r>
                      <w:t>DGDOO</w:t>
                    </w:r>
                  </w:p>
                  <w:p w:rsidR="00493528" w14:paraId="24152DAA" w14:textId="77777777">
                    <w:pPr>
                      <w:pStyle w:val="Referentiegegevens"/>
                    </w:pPr>
                    <w:r>
                      <w:t>Directie Ambtenaar &amp; Organisatie</w:t>
                    </w:r>
                  </w:p>
                  <w:p w:rsidR="00493528" w14:paraId="5B85A39B" w14:textId="77777777">
                    <w:pPr>
                      <w:pStyle w:val="WitregelW1"/>
                    </w:pPr>
                  </w:p>
                  <w:p w:rsidR="00493528" w14:paraId="30E24AC6" w14:textId="77777777">
                    <w:pPr>
                      <w:pStyle w:val="Referentiegegevens"/>
                    </w:pPr>
                    <w:r>
                      <w:t>Turfmarkt 147</w:t>
                    </w:r>
                  </w:p>
                  <w:p w:rsidR="00493528" w:rsidRPr="00D73EA2" w14:paraId="745B631F" w14:textId="77777777">
                    <w:pPr>
                      <w:pStyle w:val="Referentiegegevens"/>
                      <w:rPr>
                        <w:lang w:val="de-DE"/>
                      </w:rPr>
                    </w:pPr>
                    <w:r w:rsidRPr="00D73EA2">
                      <w:rPr>
                        <w:lang w:val="de-DE"/>
                      </w:rPr>
                      <w:t>2511 DP Den Haag</w:t>
                    </w:r>
                  </w:p>
                  <w:p w:rsidR="00493528" w:rsidRPr="00D73EA2" w14:paraId="70F68A41" w14:textId="77777777">
                    <w:pPr>
                      <w:pStyle w:val="Referentiegegevens"/>
                      <w:rPr>
                        <w:lang w:val="de-DE"/>
                      </w:rPr>
                    </w:pPr>
                    <w:r w:rsidRPr="00D73EA2">
                      <w:rPr>
                        <w:lang w:val="de-DE"/>
                      </w:rPr>
                      <w:t>Postbus 20011</w:t>
                    </w:r>
                  </w:p>
                  <w:p w:rsidR="00493528" w:rsidRPr="00D73EA2" w14:paraId="3D22D254" w14:textId="77777777">
                    <w:pPr>
                      <w:pStyle w:val="Referentiegegevens"/>
                      <w:rPr>
                        <w:lang w:val="de-DE"/>
                      </w:rPr>
                    </w:pPr>
                    <w:r w:rsidRPr="00D73EA2">
                      <w:rPr>
                        <w:lang w:val="de-DE"/>
                      </w:rPr>
                      <w:t xml:space="preserve">2500 </w:t>
                    </w:r>
                    <w:r w:rsidRPr="00D73EA2">
                      <w:rPr>
                        <w:lang w:val="de-DE"/>
                      </w:rPr>
                      <w:t>EA  Den</w:t>
                    </w:r>
                    <w:r w:rsidRPr="00D73EA2">
                      <w:rPr>
                        <w:lang w:val="de-DE"/>
                      </w:rPr>
                      <w:t xml:space="preserve"> Haag</w:t>
                    </w:r>
                  </w:p>
                  <w:p w:rsidR="00493528" w:rsidRPr="00D73EA2" w14:paraId="7BEBBDF3" w14:textId="77777777">
                    <w:pPr>
                      <w:pStyle w:val="Referentiegegevens"/>
                      <w:rPr>
                        <w:lang w:val="de-DE"/>
                      </w:rPr>
                    </w:pPr>
                    <w:r w:rsidRPr="00D73EA2">
                      <w:rPr>
                        <w:lang w:val="de-DE"/>
                      </w:rPr>
                      <w:t>Nederland</w:t>
                    </w:r>
                  </w:p>
                  <w:p w:rsidR="00493528" w:rsidRPr="00D73EA2" w14:paraId="1DE30086" w14:textId="77777777">
                    <w:pPr>
                      <w:pStyle w:val="Referentiegegevens"/>
                      <w:rPr>
                        <w:lang w:val="de-DE"/>
                      </w:rPr>
                    </w:pPr>
                    <w:r w:rsidRPr="00D73EA2">
                      <w:rPr>
                        <w:lang w:val="de-DE"/>
                      </w:rPr>
                      <w:t>www.rijksoverheid.nl</w:t>
                    </w:r>
                  </w:p>
                  <w:p w:rsidR="00493528" w:rsidRPr="00D73EA2" w14:paraId="2897E83A" w14:textId="77777777">
                    <w:pPr>
                      <w:pStyle w:val="WitregelW2"/>
                      <w:rPr>
                        <w:lang w:val="de-DE"/>
                      </w:rPr>
                    </w:pPr>
                  </w:p>
                  <w:p w:rsidR="00493528" w14:paraId="66B4C0D9" w14:textId="77777777">
                    <w:pPr>
                      <w:pStyle w:val="Referentiegegevensbold"/>
                    </w:pPr>
                    <w:r>
                      <w:t>Onze referentie</w:t>
                    </w:r>
                  </w:p>
                  <w:bookmarkStart w:id="1" w:name="_Hlk213059183"/>
                  <w:p w:rsidR="00373792" w14:paraId="3F57457C" w14:textId="26DEFBE2">
                    <w:pPr>
                      <w:pStyle w:val="Referentiegegevens"/>
                    </w:pPr>
                    <w:r>
                      <w:fldChar w:fldCharType="begin"/>
                    </w:r>
                    <w:r>
                      <w:instrText xml:space="preserve"> DOCPROPERTY  "Kenmerk"  \* MERGEFORMAT </w:instrText>
                    </w:r>
                    <w:r>
                      <w:fldChar w:fldCharType="separate"/>
                    </w:r>
                    <w:r w:rsidR="00AA2E06">
                      <w:t>2025-0000586313</w:t>
                    </w:r>
                    <w:r>
                      <w:fldChar w:fldCharType="end"/>
                    </w:r>
                  </w:p>
                  <w:bookmarkEnd w:id="1"/>
                  <w:p w:rsidR="00493528" w14:paraId="12117B2B" w14:textId="77777777">
                    <w:pPr>
                      <w:pStyle w:val="WitregelW1"/>
                    </w:pPr>
                  </w:p>
                  <w:p w:rsidR="00493528" w14:paraId="43AEE149" w14:textId="77777777">
                    <w:pPr>
                      <w:pStyle w:val="Referentiegegevensbold"/>
                    </w:pPr>
                    <w:r>
                      <w:t>Uw referentie</w:t>
                    </w:r>
                  </w:p>
                  <w:p w:rsidR="00493528" w14:paraId="27057DFF" w14:textId="77777777">
                    <w:pPr>
                      <w:pStyle w:val="Referentiegegevens"/>
                    </w:pPr>
                    <w:r>
                      <w:t>-</w:t>
                    </w:r>
                  </w:p>
                  <w:p w:rsidR="00493528" w14:paraId="18BF5643" w14:textId="77777777">
                    <w:pPr>
                      <w:pStyle w:val="WitregelW1"/>
                    </w:pPr>
                  </w:p>
                  <w:p w:rsidR="00493528" w14:paraId="7F5D0BC6" w14:textId="77777777">
                    <w:pPr>
                      <w:pStyle w:val="Referentiegegevensbold"/>
                    </w:pPr>
                    <w:r>
                      <w:t>Bijlage(n)</w:t>
                    </w:r>
                  </w:p>
                  <w:p w:rsidR="00493528" w14:paraId="2F99970D" w14:textId="77777777">
                    <w:pPr>
                      <w:pStyle w:val="Referentiegegevens"/>
                    </w:pPr>
                    <w:r>
                      <w:t>1</w:t>
                    </w:r>
                  </w:p>
                  <w:p w:rsidR="00493528" w14:paraId="3244ABC2" w14:textId="77777777">
                    <w:pPr>
                      <w:pStyle w:val="WitregelW2"/>
                    </w:pPr>
                  </w:p>
                  <w:p w:rsidR="00493528" w14:paraId="0F7E09B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73EA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73EA2" w14:paraId="08CE8CC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737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73792" w14:paraId="1C3778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93528" w14:textId="77777777">
                          <w:pPr>
                            <w:spacing w:line="240" w:lineRule="auto"/>
                          </w:pPr>
                          <w:r>
                            <w:rPr>
                              <w:noProof/>
                            </w:rPr>
                            <w:drawing>
                              <wp:inline distT="0" distB="0" distL="0" distR="0">
                                <wp:extent cx="467995" cy="1583865"/>
                                <wp:effectExtent l="0" t="0" r="0" b="0"/>
                                <wp:docPr id="12081898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81898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93528" w14:paraId="6CBAEFA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93528" w14:textId="77777777">
                          <w:pPr>
                            <w:spacing w:line="240" w:lineRule="auto"/>
                          </w:pPr>
                          <w:r>
                            <w:rPr>
                              <w:noProof/>
                            </w:rPr>
                            <w:drawing>
                              <wp:inline distT="0" distB="0" distL="0" distR="0">
                                <wp:extent cx="2339975" cy="1582834"/>
                                <wp:effectExtent l="0" t="0" r="0" b="0"/>
                                <wp:docPr id="127860460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786046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93528" w14:paraId="4AFF011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352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93528" w14:paraId="430874A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EF3AF4F"/>
    <w:multiLevelType w:val="multilevel"/>
    <w:tmpl w:val="DDB722F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EE56DF0"/>
    <w:multiLevelType w:val="multilevel"/>
    <w:tmpl w:val="A3AEFD4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7F5B054"/>
    <w:multiLevelType w:val="multilevel"/>
    <w:tmpl w:val="C71C81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CD12E32"/>
    <w:multiLevelType w:val="multilevel"/>
    <w:tmpl w:val="617660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40209075">
    <w:abstractNumId w:val="1"/>
  </w:num>
  <w:num w:numId="2" w16cid:durableId="408968366">
    <w:abstractNumId w:val="2"/>
  </w:num>
  <w:num w:numId="3" w16cid:durableId="1768385821">
    <w:abstractNumId w:val="0"/>
  </w:num>
  <w:num w:numId="4" w16cid:durableId="138032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28"/>
    <w:rsid w:val="00077103"/>
    <w:rsid w:val="00083DDA"/>
    <w:rsid w:val="0023143E"/>
    <w:rsid w:val="00253CA8"/>
    <w:rsid w:val="003364F7"/>
    <w:rsid w:val="00373792"/>
    <w:rsid w:val="003F42F0"/>
    <w:rsid w:val="00482F47"/>
    <w:rsid w:val="00493528"/>
    <w:rsid w:val="005B288E"/>
    <w:rsid w:val="007526EC"/>
    <w:rsid w:val="00781551"/>
    <w:rsid w:val="00A87BA8"/>
    <w:rsid w:val="00AA2E06"/>
    <w:rsid w:val="00B20F8F"/>
    <w:rsid w:val="00C32803"/>
    <w:rsid w:val="00CA30B9"/>
    <w:rsid w:val="00D2195E"/>
    <w:rsid w:val="00D332E7"/>
    <w:rsid w:val="00D73EA2"/>
    <w:rsid w:val="00E7283F"/>
    <w:rsid w:val="00FA3A97"/>
    <w:rsid w:val="00FC4C2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125B8E0"/>
  <w15:docId w15:val="{8B353B06-03DE-4538-A528-E914B926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73EA2"/>
    <w:pPr>
      <w:tabs>
        <w:tab w:val="center" w:pos="4536"/>
        <w:tab w:val="right" w:pos="9072"/>
      </w:tabs>
      <w:spacing w:line="240" w:lineRule="auto"/>
    </w:pPr>
  </w:style>
  <w:style w:type="character" w:customStyle="1" w:styleId="KoptekstChar">
    <w:name w:val="Koptekst Char"/>
    <w:basedOn w:val="DefaultParagraphFont"/>
    <w:link w:val="Header"/>
    <w:uiPriority w:val="99"/>
    <w:rsid w:val="00D73EA2"/>
    <w:rPr>
      <w:rFonts w:ascii="Verdana" w:hAnsi="Verdana"/>
      <w:color w:val="000000"/>
      <w:sz w:val="18"/>
      <w:szCs w:val="18"/>
    </w:rPr>
  </w:style>
  <w:style w:type="paragraph" w:styleId="Footer">
    <w:name w:val="footer"/>
    <w:basedOn w:val="Normal"/>
    <w:link w:val="VoettekstChar"/>
    <w:uiPriority w:val="99"/>
    <w:unhideWhenUsed/>
    <w:rsid w:val="00D73EA2"/>
    <w:pPr>
      <w:tabs>
        <w:tab w:val="center" w:pos="4536"/>
        <w:tab w:val="right" w:pos="9072"/>
      </w:tabs>
      <w:spacing w:line="240" w:lineRule="auto"/>
    </w:pPr>
  </w:style>
  <w:style w:type="character" w:customStyle="1" w:styleId="VoettekstChar">
    <w:name w:val="Voettekst Char"/>
    <w:basedOn w:val="DefaultParagraphFont"/>
    <w:link w:val="Footer"/>
    <w:uiPriority w:val="99"/>
    <w:rsid w:val="00D73EA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429</ap:Words>
  <ap:Characters>2360</ap:Characters>
  <ap:DocSecurity>0</ap:DocSecurity>
  <ap:Lines>19</ap:Lines>
  <ap:Paragraphs>5</ap:Paragraphs>
  <ap:ScaleCrop>false</ap:ScaleCrop>
  <ap:LinksUpToDate>false</ap:LinksUpToDate>
  <ap:CharactersWithSpaces>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2025-11-03T09:33:00.0000000Z</dcterms:created>
  <dcterms:modified xsi:type="dcterms:W3CDTF">2025-11-03T09:46:00.0000000Z</dcterms:modified>
  <dc:creator/>
  <lastModifiedBy/>
  <dc:description>------------------------</dc:description>
  <dc:subject/>
  <keywords/>
  <version/>
  <category/>
</coreProperties>
</file>