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401" w:type="dxa"/>
        <w:tblLook w:val="04A0" w:firstRow="1" w:lastRow="0" w:firstColumn="1" w:lastColumn="0" w:noHBand="0" w:noVBand="1"/>
      </w:tblPr>
      <w:tblGrid>
        <w:gridCol w:w="7401"/>
      </w:tblGrid>
      <w:tr w:rsidR="00A31AC2" w:rsidTr="006C73BB" w14:paraId="4113875E" w14:textId="77777777">
        <w:trPr>
          <w:trHeight w:val="1619"/>
        </w:trPr>
        <w:tc>
          <w:tcPr>
            <w:tcW w:w="7401" w:type="dxa"/>
            <w:tcBorders>
              <w:top w:val="nil"/>
              <w:left w:val="nil"/>
              <w:bottom w:val="nil"/>
              <w:right w:val="nil"/>
            </w:tcBorders>
            <w:tcMar>
              <w:left w:w="0" w:type="dxa"/>
              <w:right w:w="0" w:type="dxa"/>
            </w:tcMar>
          </w:tcPr>
          <w:p w:rsidR="00374412" w:rsidP="00D9561B" w:rsidRDefault="00BF5B0B" w14:paraId="1622C155" w14:textId="77777777">
            <w:r>
              <w:t>De v</w:t>
            </w:r>
            <w:r w:rsidR="008E3932">
              <w:t>oorzitter van de Tweede Kamer der Staten-Generaal</w:t>
            </w:r>
          </w:p>
          <w:p w:rsidR="00374412" w:rsidP="00D9561B" w:rsidRDefault="00BF5B0B" w14:paraId="4E5FA6AE" w14:textId="77777777">
            <w:r>
              <w:t>Postbus 20018</w:t>
            </w:r>
          </w:p>
          <w:p w:rsidR="008E3932" w:rsidP="00D9561B" w:rsidRDefault="00BF5B0B" w14:paraId="468A420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31AC2" w:rsidTr="006C73BB" w14:paraId="5D7EFCA0" w14:textId="77777777">
        <w:trPr>
          <w:trHeight w:val="289" w:hRule="exact"/>
        </w:trPr>
        <w:tc>
          <w:tcPr>
            <w:tcW w:w="928" w:type="dxa"/>
          </w:tcPr>
          <w:p w:rsidRPr="00434042" w:rsidR="0005404B" w:rsidP="00FF66F9" w:rsidRDefault="00BF5B0B" w14:paraId="253CFAEA" w14:textId="77777777">
            <w:pPr>
              <w:rPr>
                <w:lang w:eastAsia="en-US"/>
              </w:rPr>
            </w:pPr>
            <w:r>
              <w:rPr>
                <w:lang w:eastAsia="en-US"/>
              </w:rPr>
              <w:t>Datum</w:t>
            </w:r>
          </w:p>
        </w:tc>
        <w:tc>
          <w:tcPr>
            <w:tcW w:w="6572" w:type="dxa"/>
          </w:tcPr>
          <w:p w:rsidRPr="00434042" w:rsidR="0005404B" w:rsidP="00FF66F9" w:rsidRDefault="00B52D0B" w14:paraId="2F72ADB6" w14:textId="2ACDB53F">
            <w:pPr>
              <w:rPr>
                <w:lang w:eastAsia="en-US"/>
              </w:rPr>
            </w:pPr>
            <w:r>
              <w:rPr>
                <w:lang w:eastAsia="en-US"/>
              </w:rPr>
              <w:t>3 november 2025</w:t>
            </w:r>
          </w:p>
        </w:tc>
      </w:tr>
      <w:tr w:rsidR="00A31AC2" w:rsidTr="006C73BB" w14:paraId="2BB1DA79" w14:textId="77777777">
        <w:trPr>
          <w:trHeight w:val="368"/>
        </w:trPr>
        <w:tc>
          <w:tcPr>
            <w:tcW w:w="928" w:type="dxa"/>
          </w:tcPr>
          <w:p w:rsidR="0005404B" w:rsidP="00FF66F9" w:rsidRDefault="00EE2329" w14:paraId="6BAE7A56" w14:textId="39D72E86">
            <w:pPr>
              <w:rPr>
                <w:lang w:eastAsia="en-US"/>
              </w:rPr>
            </w:pPr>
            <w:r>
              <w:rPr>
                <w:lang w:eastAsia="en-US"/>
              </w:rPr>
              <w:t>Betreft</w:t>
            </w:r>
          </w:p>
        </w:tc>
        <w:tc>
          <w:tcPr>
            <w:tcW w:w="6572" w:type="dxa"/>
          </w:tcPr>
          <w:p w:rsidR="0005404B" w:rsidP="00FF66F9" w:rsidRDefault="00BF5B0B" w14:paraId="1F982AE2" w14:textId="68B0E01D">
            <w:pPr>
              <w:rPr>
                <w:lang w:eastAsia="en-US"/>
              </w:rPr>
            </w:pPr>
            <w:r>
              <w:rPr>
                <w:lang w:eastAsia="en-US"/>
              </w:rPr>
              <w:t xml:space="preserve">Uitslag tweede financieringsronde Nationale </w:t>
            </w:r>
            <w:proofErr w:type="spellStart"/>
            <w:r>
              <w:rPr>
                <w:lang w:eastAsia="en-US"/>
              </w:rPr>
              <w:t>Roadmap</w:t>
            </w:r>
            <w:proofErr w:type="spellEnd"/>
            <w:r>
              <w:rPr>
                <w:lang w:eastAsia="en-US"/>
              </w:rPr>
              <w:t xml:space="preserve"> Grootschalige Wetenschappelijke Infrastructuur </w:t>
            </w:r>
            <w:r w:rsidR="00923F58">
              <w:rPr>
                <w:lang w:eastAsia="en-US"/>
              </w:rPr>
              <w:t>2021</w:t>
            </w:r>
          </w:p>
        </w:tc>
      </w:tr>
    </w:tbl>
    <w:p w:rsidR="00EE2329" w:rsidP="00EE2329" w:rsidRDefault="00EE2329" w14:paraId="3A077D24" w14:textId="6DC7D2FF">
      <w:r w:rsidRPr="00547C5B">
        <w:t xml:space="preserve">Nederland streeft naar </w:t>
      </w:r>
      <w:r>
        <w:t xml:space="preserve">onderzoek en </w:t>
      </w:r>
      <w:r w:rsidRPr="00547C5B">
        <w:t>wetenschap van topniveau – en heeft dat ook hard nodig om maatschappelijke uitdagingen aan te pakken, internationaal concurrerend te blijven</w:t>
      </w:r>
      <w:r>
        <w:t xml:space="preserve"> en </w:t>
      </w:r>
      <w:r w:rsidRPr="00547C5B">
        <w:t xml:space="preserve">economische groei te stimuleren. Dit is alleen mogelijk met toegang tot hoogwaardige </w:t>
      </w:r>
      <w:proofErr w:type="spellStart"/>
      <w:r w:rsidRPr="00547C5B">
        <w:t>onderzoeksinfrastructuur</w:t>
      </w:r>
      <w:proofErr w:type="spellEnd"/>
      <w:r>
        <w:t xml:space="preserve"> zoals </w:t>
      </w:r>
      <w:r w:rsidRPr="00376654">
        <w:t xml:space="preserve">experimentele faciliteiten, gespecialiseerde instrumenten en laboratoria, wetenschappelijke </w:t>
      </w:r>
      <w:proofErr w:type="spellStart"/>
      <w:r w:rsidRPr="00376654">
        <w:t>onderzoekscollecties</w:t>
      </w:r>
      <w:proofErr w:type="spellEnd"/>
      <w:r w:rsidRPr="00376654">
        <w:t xml:space="preserve"> en geavanceerde databases</w:t>
      </w:r>
      <w:r>
        <w:t>. Deze stellen</w:t>
      </w:r>
      <w:r w:rsidRPr="00547C5B">
        <w:t xml:space="preserve"> onderzoekers in staat om grensverleggend werk te verrichten.</w:t>
      </w:r>
    </w:p>
    <w:p w:rsidR="00EE2329" w:rsidP="00EE2329" w:rsidRDefault="00EE2329" w14:paraId="50390550" w14:textId="77777777"/>
    <w:p w:rsidR="00547C5B" w:rsidP="006C73BB" w:rsidRDefault="00EE2329" w14:paraId="20EDCA4D" w14:textId="744CD10C">
      <w:r>
        <w:t xml:space="preserve">Om de Nederlandse investeringen aan Grootschalige Wetenschappelijke Infrastructuur (GWI) doeltreffend en doelmatig mogelijk te maken, is in 2016 </w:t>
      </w:r>
      <w:r w:rsidRPr="00863F57">
        <w:t xml:space="preserve">de </w:t>
      </w:r>
      <w:r w:rsidR="009440E9">
        <w:t xml:space="preserve">strategische </w:t>
      </w:r>
      <w:r w:rsidRPr="00863F57">
        <w:t xml:space="preserve">Nationale </w:t>
      </w:r>
      <w:proofErr w:type="spellStart"/>
      <w:r w:rsidRPr="00863F57">
        <w:t>Roadmap</w:t>
      </w:r>
      <w:proofErr w:type="spellEnd"/>
      <w:r w:rsidRPr="00863F57">
        <w:t xml:space="preserve"> Grootschalige Wetenschappelijke Infrastructuur (</w:t>
      </w:r>
      <w:proofErr w:type="spellStart"/>
      <w:r w:rsidRPr="00863F57">
        <w:t>Roadmap</w:t>
      </w:r>
      <w:proofErr w:type="spellEnd"/>
      <w:r w:rsidRPr="00863F57">
        <w:t xml:space="preserve">) </w:t>
      </w:r>
      <w:r>
        <w:t>in het leven geroepen.</w:t>
      </w:r>
      <w:r>
        <w:rPr>
          <w:rStyle w:val="Voetnootmarkering"/>
        </w:rPr>
        <w:footnoteReference w:id="1"/>
      </w:r>
      <w:r>
        <w:t xml:space="preserve"> De </w:t>
      </w:r>
      <w:proofErr w:type="spellStart"/>
      <w:r>
        <w:t>Roadmap</w:t>
      </w:r>
      <w:proofErr w:type="spellEnd"/>
      <w:r>
        <w:t xml:space="preserve"> geeft aan wat de belangrijkste </w:t>
      </w:r>
      <w:proofErr w:type="spellStart"/>
      <w:r>
        <w:t>onderzoeksinfrastructuurplannen</w:t>
      </w:r>
      <w:proofErr w:type="spellEnd"/>
      <w:r>
        <w:t xml:space="preserve"> voor Nederland zijn. </w:t>
      </w:r>
      <w:r w:rsidR="00070AF5">
        <w:t>Met</w:t>
      </w:r>
      <w:r w:rsidR="00AE663B">
        <w:t xml:space="preserve"> deze</w:t>
      </w:r>
      <w:r w:rsidR="006C73BB">
        <w:t xml:space="preserve"> brief informeer ik uw Kamer over de uitslag van de tweede investeringsronde </w:t>
      </w:r>
      <w:r w:rsidR="00016506">
        <w:t>bij</w:t>
      </w:r>
      <w:r w:rsidR="00070AF5">
        <w:t xml:space="preserve"> de </w:t>
      </w:r>
      <w:r w:rsidR="006C73BB">
        <w:t xml:space="preserve">Nationale </w:t>
      </w:r>
      <w:proofErr w:type="spellStart"/>
      <w:r w:rsidR="006C73BB">
        <w:t>Roadmap</w:t>
      </w:r>
      <w:proofErr w:type="spellEnd"/>
      <w:r w:rsidR="006C73BB">
        <w:t xml:space="preserve"> Grootschalige Wetenschappelijke Infrastructuur</w:t>
      </w:r>
      <w:r w:rsidR="00923F58">
        <w:t xml:space="preserve"> 2021</w:t>
      </w:r>
      <w:r w:rsidRPr="00282156" w:rsidR="00282156">
        <w:t xml:space="preserve"> en het belang van onderzoeks- en technologie-infrastructuur voor Nederland</w:t>
      </w:r>
      <w:r w:rsidR="006C73BB">
        <w:t>.</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C73BB" w:rsidTr="007233C9" w14:paraId="41D4CEB6" w14:textId="77777777">
        <w:tc>
          <w:tcPr>
            <w:tcW w:w="2160" w:type="dxa"/>
          </w:tcPr>
          <w:p w:rsidRPr="00F53C9D" w:rsidR="006C73BB" w:rsidP="007233C9" w:rsidRDefault="006C73BB" w14:paraId="5F6C457D" w14:textId="77777777">
            <w:pPr>
              <w:pStyle w:val="Colofonkop"/>
              <w:framePr w:hSpace="0" w:wrap="auto" w:hAnchor="text" w:vAnchor="margin" w:xAlign="left" w:yAlign="inline"/>
            </w:pPr>
            <w:r>
              <w:t>Onderzoek en Wetenschapsbeleid</w:t>
            </w:r>
          </w:p>
          <w:p w:rsidR="006C73BB" w:rsidP="007233C9" w:rsidRDefault="006C73BB" w14:paraId="57B2A653" w14:textId="77777777">
            <w:pPr>
              <w:pStyle w:val="Huisstijl-Gegeven"/>
              <w:spacing w:after="0"/>
            </w:pPr>
            <w:r>
              <w:t xml:space="preserve">Rijnstraat 50 </w:t>
            </w:r>
          </w:p>
          <w:p w:rsidR="006C73BB" w:rsidP="007233C9" w:rsidRDefault="006C73BB" w14:paraId="7BA396CA" w14:textId="77777777">
            <w:pPr>
              <w:pStyle w:val="Huisstijl-Gegeven"/>
              <w:spacing w:after="0"/>
            </w:pPr>
            <w:r>
              <w:t>Den Haag</w:t>
            </w:r>
          </w:p>
          <w:p w:rsidR="006C73BB" w:rsidP="007233C9" w:rsidRDefault="006C73BB" w14:paraId="4DDCBF04" w14:textId="77777777">
            <w:pPr>
              <w:pStyle w:val="Huisstijl-Gegeven"/>
              <w:spacing w:after="0"/>
            </w:pPr>
            <w:r>
              <w:t>Postbus 16375</w:t>
            </w:r>
          </w:p>
          <w:p w:rsidR="006C73BB" w:rsidP="007233C9" w:rsidRDefault="006C73BB" w14:paraId="2898CB34" w14:textId="77777777">
            <w:pPr>
              <w:pStyle w:val="Huisstijl-Gegeven"/>
              <w:spacing w:after="0"/>
            </w:pPr>
            <w:r>
              <w:t>2500 BJ Den Haag</w:t>
            </w:r>
          </w:p>
          <w:p w:rsidRPr="00A32073" w:rsidR="001E10B0" w:rsidP="002351BE" w:rsidRDefault="006C73BB" w14:paraId="0714BE4A" w14:textId="14DF3D17">
            <w:pPr>
              <w:pStyle w:val="Huisstijl-Gegeven"/>
              <w:spacing w:after="90"/>
              <w:rPr>
                <w:szCs w:val="13"/>
              </w:rPr>
            </w:pPr>
            <w:r>
              <w:t>www.rijksoverheid.nl</w:t>
            </w:r>
          </w:p>
        </w:tc>
      </w:tr>
      <w:tr w:rsidR="006C73BB" w:rsidTr="007233C9" w14:paraId="5A22AA3C" w14:textId="77777777">
        <w:trPr>
          <w:trHeight w:val="450"/>
        </w:trPr>
        <w:tc>
          <w:tcPr>
            <w:tcW w:w="2160" w:type="dxa"/>
          </w:tcPr>
          <w:p w:rsidR="006C73BB" w:rsidP="007233C9" w:rsidRDefault="006C73BB" w14:paraId="256248F0" w14:textId="77777777">
            <w:pPr>
              <w:spacing w:line="180" w:lineRule="exact"/>
              <w:rPr>
                <w:b/>
                <w:sz w:val="13"/>
                <w:szCs w:val="13"/>
              </w:rPr>
            </w:pPr>
            <w:r>
              <w:rPr>
                <w:b/>
                <w:sz w:val="13"/>
                <w:szCs w:val="13"/>
              </w:rPr>
              <w:t>Onze referentie</w:t>
            </w:r>
          </w:p>
          <w:p w:rsidRPr="00FA7882" w:rsidR="006C73BB" w:rsidP="007233C9" w:rsidRDefault="006C73BB" w14:paraId="4694EBB0" w14:textId="77777777">
            <w:pPr>
              <w:spacing w:line="180" w:lineRule="exact"/>
              <w:rPr>
                <w:sz w:val="13"/>
                <w:szCs w:val="13"/>
              </w:rPr>
            </w:pPr>
            <w:r>
              <w:rPr>
                <w:sz w:val="13"/>
                <w:szCs w:val="13"/>
              </w:rPr>
              <w:t>54132690</w:t>
            </w:r>
          </w:p>
        </w:tc>
      </w:tr>
      <w:tr w:rsidR="006C73BB" w:rsidTr="007233C9" w14:paraId="6358CCA5" w14:textId="77777777">
        <w:trPr>
          <w:trHeight w:val="113"/>
        </w:trPr>
        <w:tc>
          <w:tcPr>
            <w:tcW w:w="2160" w:type="dxa"/>
          </w:tcPr>
          <w:p w:rsidRPr="00B572DA" w:rsidR="006C73BB" w:rsidP="007233C9" w:rsidRDefault="006C73BB" w14:paraId="7EE99DD4" w14:textId="77777777">
            <w:pPr>
              <w:tabs>
                <w:tab w:val="center" w:pos="1080"/>
              </w:tabs>
              <w:spacing w:line="180" w:lineRule="exact"/>
              <w:rPr>
                <w:sz w:val="13"/>
                <w:szCs w:val="13"/>
              </w:rPr>
            </w:pPr>
            <w:r w:rsidRPr="00B572DA">
              <w:rPr>
                <w:b/>
                <w:sz w:val="13"/>
                <w:szCs w:val="13"/>
              </w:rPr>
              <w:t>Bijlagen</w:t>
            </w:r>
          </w:p>
        </w:tc>
      </w:tr>
      <w:tr w:rsidR="006C73BB" w:rsidTr="007233C9" w14:paraId="4ED4DEE1" w14:textId="77777777">
        <w:trPr>
          <w:trHeight w:val="113"/>
        </w:trPr>
        <w:tc>
          <w:tcPr>
            <w:tcW w:w="2160" w:type="dxa"/>
          </w:tcPr>
          <w:p w:rsidRPr="00B572DA" w:rsidR="006C73BB" w:rsidP="007233C9" w:rsidRDefault="006C73BB" w14:paraId="60AFAEE1" w14:textId="77777777">
            <w:pPr>
              <w:spacing w:after="90" w:line="180" w:lineRule="exact"/>
              <w:rPr>
                <w:sz w:val="13"/>
              </w:rPr>
            </w:pPr>
            <w:r w:rsidRPr="00B572DA">
              <w:rPr>
                <w:sz w:val="13"/>
              </w:rPr>
              <w:t>1</w:t>
            </w:r>
          </w:p>
        </w:tc>
      </w:tr>
    </w:tbl>
    <w:p w:rsidRPr="00863F57" w:rsidR="00EE2329" w:rsidP="00863F57" w:rsidRDefault="00EE2329" w14:paraId="6B53C49B" w14:textId="187417CC"/>
    <w:p w:rsidRPr="009B27C9" w:rsidR="00663E1F" w:rsidP="00663E1F" w:rsidRDefault="00663E1F" w14:paraId="7204963E" w14:textId="77777777">
      <w:pPr>
        <w:rPr>
          <w:b/>
          <w:bCs/>
        </w:rPr>
      </w:pPr>
      <w:r w:rsidRPr="009B27C9">
        <w:rPr>
          <w:b/>
          <w:bCs/>
        </w:rPr>
        <w:t>Belang van onderzoeks</w:t>
      </w:r>
      <w:r>
        <w:rPr>
          <w:b/>
          <w:bCs/>
        </w:rPr>
        <w:t>- en technologie-</w:t>
      </w:r>
      <w:r w:rsidRPr="009B27C9">
        <w:rPr>
          <w:b/>
          <w:bCs/>
        </w:rPr>
        <w:t xml:space="preserve">infrastructuur </w:t>
      </w:r>
      <w:r>
        <w:rPr>
          <w:b/>
          <w:bCs/>
        </w:rPr>
        <w:t>voor Nederland</w:t>
      </w:r>
    </w:p>
    <w:p w:rsidR="00663E1F" w:rsidP="00663E1F" w:rsidRDefault="00663E1F" w14:paraId="3504BE76" w14:textId="77777777">
      <w:r w:rsidRPr="002351BE">
        <w:t xml:space="preserve">Het is van cruciaal belang dat Nederland substantieel </w:t>
      </w:r>
      <w:r>
        <w:t xml:space="preserve">en </w:t>
      </w:r>
      <w:r w:rsidRPr="002351BE">
        <w:t>structureel investeert in het nationale, Europese en internationale ecosysteem van onderzoeks- en technologie-infrastructu</w:t>
      </w:r>
      <w:r>
        <w:t>ur (infrastructuur).</w:t>
      </w:r>
      <w:r w:rsidRPr="002351BE">
        <w:t xml:space="preserve"> </w:t>
      </w:r>
      <w:r>
        <w:t xml:space="preserve">Het belang en de verwevenheid van nationale en Europese infrastructuur worden onderstreept in </w:t>
      </w:r>
      <w:r w:rsidRPr="00141B0A">
        <w:t xml:space="preserve">de rapporten van </w:t>
      </w:r>
      <w:proofErr w:type="spellStart"/>
      <w:r w:rsidRPr="00141B0A">
        <w:t>Draghi</w:t>
      </w:r>
      <w:proofErr w:type="spellEnd"/>
      <w:r w:rsidRPr="00141B0A">
        <w:t xml:space="preserve">, </w:t>
      </w:r>
      <w:proofErr w:type="spellStart"/>
      <w:r w:rsidRPr="00141B0A">
        <w:t>Letta</w:t>
      </w:r>
      <w:proofErr w:type="spellEnd"/>
      <w:r w:rsidRPr="00141B0A">
        <w:t xml:space="preserve">, </w:t>
      </w:r>
      <w:proofErr w:type="spellStart"/>
      <w:r w:rsidRPr="00141B0A">
        <w:t>Heitor</w:t>
      </w:r>
      <w:proofErr w:type="spellEnd"/>
      <w:r w:rsidRPr="00141B0A">
        <w:t xml:space="preserve"> en anderen</w:t>
      </w:r>
      <w:r>
        <w:t xml:space="preserve"> en in </w:t>
      </w:r>
      <w:r w:rsidRPr="001A1C26">
        <w:t>de</w:t>
      </w:r>
      <w:r w:rsidRPr="00141B0A">
        <w:rPr>
          <w:i/>
          <w:iCs/>
        </w:rPr>
        <w:t xml:space="preserve"> Europese Strategie voor Onderzoeks- en Technologie-Infrastructuren</w:t>
      </w:r>
      <w:r>
        <w:t>.</w:t>
      </w:r>
      <w:r w:rsidRPr="00141B0A">
        <w:rPr>
          <w:rStyle w:val="Voetnootmarkering"/>
        </w:rPr>
        <w:footnoteReference w:id="2"/>
      </w:r>
    </w:p>
    <w:p w:rsidR="00663E1F" w:rsidP="00663E1F" w:rsidRDefault="00663E1F" w14:paraId="120B8B1D" w14:textId="77777777"/>
    <w:p w:rsidR="00663E1F" w:rsidP="00663E1F" w:rsidRDefault="00663E1F" w14:paraId="5FE48DA2" w14:textId="77777777">
      <w:r>
        <w:t>I</w:t>
      </w:r>
      <w:r w:rsidRPr="002351BE">
        <w:t xml:space="preserve">nfrastructuur </w:t>
      </w:r>
      <w:r>
        <w:t>is</w:t>
      </w:r>
      <w:r w:rsidRPr="002351BE">
        <w:t xml:space="preserve"> voor</w:t>
      </w:r>
      <w:r>
        <w:t xml:space="preserve"> (toegepaste)</w:t>
      </w:r>
      <w:r w:rsidRPr="002351BE">
        <w:t xml:space="preserve"> onderzoeksinstellingen, bedrijfsleven</w:t>
      </w:r>
      <w:r>
        <w:t xml:space="preserve">, overheid, Rijkskennisinstellingen </w:t>
      </w:r>
      <w:r w:rsidRPr="002351BE">
        <w:t xml:space="preserve">en andere </w:t>
      </w:r>
      <w:r>
        <w:t>publieke en private stakeholders</w:t>
      </w:r>
      <w:r w:rsidRPr="002351BE">
        <w:t xml:space="preserve"> een essentiële voorwaarde om wetenschappelijke en technologische doorbraken te realiseren, effectieve oplossingen te vinden voor maatschappelijke uitdagingen, </w:t>
      </w:r>
      <w:r w:rsidRPr="002351BE">
        <w:lastRenderedPageBreak/>
        <w:t>en om de nationale en Europese concurrentiekracht</w:t>
      </w:r>
      <w:r>
        <w:t xml:space="preserve"> te versterken</w:t>
      </w:r>
      <w:r w:rsidRPr="002351BE">
        <w:t xml:space="preserve">. </w:t>
      </w:r>
      <w:r>
        <w:t>De meeste onderzoekers kunnen hun werk en onderzoek niet doen zonder onderzoeks- en technologie-infrastructuur.</w:t>
      </w:r>
      <w:r w:rsidRPr="001A1C26">
        <w:t xml:space="preserve"> </w:t>
      </w:r>
      <w:r>
        <w:t>Dit geldt ook voor onderzoekers en ontwikkelaars bij bedrijven. I</w:t>
      </w:r>
      <w:r w:rsidRPr="00A6582C">
        <w:t xml:space="preserve">nfrastructuren </w:t>
      </w:r>
      <w:r>
        <w:t xml:space="preserve">zijn </w:t>
      </w:r>
      <w:r w:rsidRPr="00A6582C">
        <w:t xml:space="preserve">een motor voor private R&amp;D-investeringen en essentieel om gevalideerde oplossingen te ontwikkelen en die naar de markt te brengen. </w:t>
      </w:r>
      <w:r w:rsidRPr="002351BE">
        <w:t xml:space="preserve">Daarbij </w:t>
      </w:r>
      <w:r>
        <w:t>vraagt de</w:t>
      </w:r>
      <w:r w:rsidRPr="002351BE">
        <w:t xml:space="preserve"> huidige geopolitieke situatie</w:t>
      </w:r>
      <w:r>
        <w:t xml:space="preserve"> om aanpassingen aan onze infrastructuur en ons infrastructuurlandschap om bij te kunnen dragen aan</w:t>
      </w:r>
      <w:r w:rsidRPr="002351BE">
        <w:t xml:space="preserve"> </w:t>
      </w:r>
      <w:r>
        <w:t xml:space="preserve">het </w:t>
      </w:r>
      <w:r w:rsidRPr="002351BE">
        <w:t>waarborgen van onze veiligheid</w:t>
      </w:r>
      <w:r>
        <w:t>, democratie</w:t>
      </w:r>
      <w:r w:rsidRPr="002351BE">
        <w:t xml:space="preserve"> en welvaart en het versterken van onze strategische autonomie en weerbaarheid.</w:t>
      </w:r>
      <w:r w:rsidRPr="009C1F82">
        <w:t xml:space="preserve"> </w:t>
      </w:r>
    </w:p>
    <w:p w:rsidR="00663E1F" w:rsidP="00663E1F" w:rsidRDefault="00663E1F" w14:paraId="5E1A5F3C" w14:textId="77777777"/>
    <w:p w:rsidR="00663E1F" w:rsidP="00663E1F" w:rsidRDefault="00663E1F" w14:paraId="34C46367" w14:textId="57B7E00B">
      <w:r>
        <w:t>In</w:t>
      </w:r>
      <w:r w:rsidRPr="002351BE">
        <w:t xml:space="preserve"> lijn </w:t>
      </w:r>
      <w:r>
        <w:t xml:space="preserve">met </w:t>
      </w:r>
      <w:r w:rsidRPr="00B572DA">
        <w:t>de Nederlandse ambitie o</w:t>
      </w:r>
      <w:r>
        <w:t>m</w:t>
      </w:r>
      <w:r w:rsidRPr="00B572DA">
        <w:t xml:space="preserve"> te voldoen aan de Lissabondoelstelling om 3% van het </w:t>
      </w:r>
      <w:r>
        <w:t>bruto binnenlands product</w:t>
      </w:r>
      <w:r w:rsidRPr="00B572DA">
        <w:t xml:space="preserve"> </w:t>
      </w:r>
      <w:r>
        <w:t>uit te geven aan</w:t>
      </w:r>
      <w:r w:rsidRPr="00B572DA">
        <w:t xml:space="preserve"> onderzoek en innovatie</w:t>
      </w:r>
      <w:r w:rsidRPr="00B0377D">
        <w:t xml:space="preserve"> </w:t>
      </w:r>
      <w:r>
        <w:t>en om de private sector te stimuleren meer te investeren in R&amp;D,</w:t>
      </w:r>
      <w:r w:rsidRPr="002351BE">
        <w:t xml:space="preserve"> </w:t>
      </w:r>
      <w:r>
        <w:t xml:space="preserve">vraagt voorgaande </w:t>
      </w:r>
      <w:r w:rsidRPr="002351BE">
        <w:t xml:space="preserve">om investeringen in eigen hoogwaardige infrastructuur in Nederland </w:t>
      </w:r>
      <w:r>
        <w:t>en</w:t>
      </w:r>
      <w:r w:rsidRPr="002351BE">
        <w:t xml:space="preserve"> in vertrouwde partnerlanden</w:t>
      </w:r>
      <w:r>
        <w:t>.</w:t>
      </w:r>
      <w:r>
        <w:rPr>
          <w:rStyle w:val="Voetnootmarkering"/>
        </w:rPr>
        <w:footnoteReference w:id="3"/>
      </w:r>
      <w:r>
        <w:t xml:space="preserve"> </w:t>
      </w:r>
      <w:r w:rsidRPr="002351BE">
        <w:t xml:space="preserve">Het is aan een volgend kabinet om te besluiten over </w:t>
      </w:r>
      <w:r>
        <w:t>de benodigde</w:t>
      </w:r>
      <w:r w:rsidRPr="002351BE">
        <w:t xml:space="preserve"> beleidsmaatregelen voor en investeringen in het Nederlandse stelsel voor onderzoeks- en technologie-infrastructuur, inclusief ICT-, data- en digitale infrastructuur. </w:t>
      </w:r>
      <w:r>
        <w:t xml:space="preserve">Daarbij </w:t>
      </w:r>
      <w:r w:rsidRPr="002351BE">
        <w:t xml:space="preserve">vragen onder andere de volgende aspecten om aandacht: de realisatie van nieuwe infrastructuur in Nederland, de modernisering van Nederlandse infrastructuren, de ondersteuning van transnationale toegang, </w:t>
      </w:r>
      <w:r>
        <w:t>de uitbreiding van dataopslag-, reken- en AI-capaciteit,</w:t>
      </w:r>
      <w:r w:rsidRPr="002351BE">
        <w:t xml:space="preserve"> en de verduurzaming en versterking van het </w:t>
      </w:r>
      <w:r>
        <w:t xml:space="preserve">internationale </w:t>
      </w:r>
      <w:r w:rsidRPr="002351BE">
        <w:t>lidmaatschapsportfolio.</w:t>
      </w:r>
    </w:p>
    <w:p w:rsidR="00663E1F" w:rsidP="00831081" w:rsidRDefault="00663E1F" w14:paraId="68692DF3" w14:textId="77777777">
      <w:pPr>
        <w:rPr>
          <w:b/>
          <w:bCs/>
        </w:rPr>
      </w:pPr>
    </w:p>
    <w:p w:rsidRPr="00016506" w:rsidR="00831081" w:rsidP="00831081" w:rsidRDefault="00EE2329" w14:paraId="5AFFB819" w14:textId="455BA8D8">
      <w:pPr>
        <w:rPr>
          <w:b/>
          <w:bCs/>
        </w:rPr>
      </w:pPr>
      <w:r>
        <w:rPr>
          <w:b/>
          <w:bCs/>
        </w:rPr>
        <w:t xml:space="preserve">De </w:t>
      </w:r>
      <w:proofErr w:type="spellStart"/>
      <w:r>
        <w:rPr>
          <w:b/>
          <w:bCs/>
        </w:rPr>
        <w:t>Roadmap</w:t>
      </w:r>
      <w:proofErr w:type="spellEnd"/>
      <w:r>
        <w:rPr>
          <w:b/>
          <w:bCs/>
        </w:rPr>
        <w:t xml:space="preserve"> </w:t>
      </w:r>
      <w:r>
        <w:rPr>
          <w:b/>
          <w:bCs/>
          <w:lang w:eastAsia="en-US"/>
        </w:rPr>
        <w:t xml:space="preserve">GWI </w:t>
      </w:r>
      <w:r>
        <w:rPr>
          <w:b/>
          <w:bCs/>
        </w:rPr>
        <w:t>2021</w:t>
      </w:r>
    </w:p>
    <w:p w:rsidR="00663E1F" w:rsidP="00EE2329" w:rsidRDefault="00663E1F" w14:paraId="07D7E489" w14:textId="1276AC3C">
      <w:r>
        <w:t xml:space="preserve">De Nationale </w:t>
      </w:r>
      <w:proofErr w:type="spellStart"/>
      <w:r>
        <w:t>Roadmap</w:t>
      </w:r>
      <w:proofErr w:type="spellEnd"/>
      <w:r>
        <w:t xml:space="preserve"> geeft aan wat de belangrijkste </w:t>
      </w:r>
      <w:proofErr w:type="spellStart"/>
      <w:r>
        <w:t>onderzoeksinfrastructuurplannen</w:t>
      </w:r>
      <w:proofErr w:type="spellEnd"/>
      <w:r>
        <w:t xml:space="preserve"> voor Nederland zijn. </w:t>
      </w:r>
      <w:r w:rsidRPr="00863F57" w:rsidR="00EE2329">
        <w:t xml:space="preserve">De </w:t>
      </w:r>
      <w:r w:rsidR="00EE2329">
        <w:t>Permanente Commissie voor Grootschalige Wetenschappelijke Infrastructuur</w:t>
      </w:r>
      <w:r w:rsidR="00016506">
        <w:t xml:space="preserve"> </w:t>
      </w:r>
      <w:r w:rsidRPr="00863F57" w:rsidR="00EE2329">
        <w:t xml:space="preserve">actualiseert de </w:t>
      </w:r>
      <w:r w:rsidR="00EE2329">
        <w:t xml:space="preserve">Nationale </w:t>
      </w:r>
      <w:proofErr w:type="spellStart"/>
      <w:r w:rsidRPr="00863F57" w:rsidR="00EE2329">
        <w:t>Roadmap</w:t>
      </w:r>
      <w:proofErr w:type="spellEnd"/>
      <w:r w:rsidRPr="00863F57" w:rsidR="00EE2329">
        <w:t xml:space="preserve"> elke vijf jaar</w:t>
      </w:r>
      <w:r w:rsidR="00EE2329">
        <w:t xml:space="preserve">. </w:t>
      </w:r>
      <w:r w:rsidRPr="00923F58" w:rsidR="00EE2329">
        <w:t xml:space="preserve">Over de huidige </w:t>
      </w:r>
      <w:proofErr w:type="spellStart"/>
      <w:r w:rsidRPr="00923F58" w:rsidR="00EE2329">
        <w:t>Roadmap</w:t>
      </w:r>
      <w:proofErr w:type="spellEnd"/>
      <w:r w:rsidRPr="00923F58" w:rsidR="00EE2329">
        <w:t xml:space="preserve"> </w:t>
      </w:r>
      <w:r w:rsidR="00EE2329">
        <w:t>is uw Kamer</w:t>
      </w:r>
      <w:r w:rsidRPr="00923F58" w:rsidR="00EE2329">
        <w:t xml:space="preserve"> op 24 september 2021 geïnformeerd</w:t>
      </w:r>
      <w:r w:rsidRPr="00863F57" w:rsidR="00EE2329">
        <w:t>.</w:t>
      </w:r>
      <w:r w:rsidRPr="00923F58" w:rsidR="00EE2329">
        <w:rPr>
          <w:rStyle w:val="Voetnootmarkering"/>
        </w:rPr>
        <w:footnoteReference w:id="4"/>
      </w:r>
      <w:r w:rsidRPr="00863F57" w:rsidR="00EE2329">
        <w:t xml:space="preserve"> </w:t>
      </w:r>
    </w:p>
    <w:p w:rsidR="00663E1F" w:rsidP="00EE2329" w:rsidRDefault="00663E1F" w14:paraId="76753660" w14:textId="77777777"/>
    <w:p w:rsidR="0087478B" w:rsidP="00831081" w:rsidRDefault="0087478B" w14:paraId="5441A0DB" w14:textId="645D6363">
      <w:r>
        <w:t xml:space="preserve">De </w:t>
      </w:r>
      <w:proofErr w:type="spellStart"/>
      <w:r>
        <w:t>Roadmap</w:t>
      </w:r>
      <w:proofErr w:type="spellEnd"/>
      <w:r>
        <w:t xml:space="preserve"> erkent dat investeringen in grote </w:t>
      </w:r>
      <w:proofErr w:type="spellStart"/>
      <w:r>
        <w:t>onderzoeksinfrastructuur</w:t>
      </w:r>
      <w:proofErr w:type="spellEnd"/>
      <w:r>
        <w:t xml:space="preserve"> de draagkracht van individuele instellingen ver te boven gaan. Het gaat om faciliteiten van breed nationaal belang die door consortia worden ontwikkeld, gebouwd en beheerd. Vaak hebben deze infrastructuren een internationale uitstraling omdat ze onderdeel zijn van de Nederlandse bijdrage aan Europese of internationale samenwerkingen. </w:t>
      </w:r>
      <w:r w:rsidR="004F3C21">
        <w:t xml:space="preserve">Op </w:t>
      </w:r>
      <w:r>
        <w:t xml:space="preserve">dit moment </w:t>
      </w:r>
      <w:r w:rsidR="004F3C21">
        <w:t xml:space="preserve">werkt </w:t>
      </w:r>
      <w:r>
        <w:t xml:space="preserve">NWO in samenspraak met </w:t>
      </w:r>
      <w:r w:rsidR="004F3C21">
        <w:t xml:space="preserve">kennisinstellingen </w:t>
      </w:r>
      <w:r>
        <w:t>e</w:t>
      </w:r>
      <w:r w:rsidR="004F3C21">
        <w:t xml:space="preserve">n departementen aan </w:t>
      </w:r>
      <w:r>
        <w:t>een portfoliobeleid voor internationale lidmaatschappen.</w:t>
      </w:r>
    </w:p>
    <w:p w:rsidR="00EE2329" w:rsidP="00831081" w:rsidRDefault="00EE2329" w14:paraId="236E8E8F" w14:textId="77777777"/>
    <w:p w:rsidR="00EE2329" w:rsidP="00863F57" w:rsidRDefault="00863F57" w14:paraId="712B4A39" w14:textId="0AF993BD">
      <w:r>
        <w:t xml:space="preserve">Aan elke </w:t>
      </w:r>
      <w:proofErr w:type="spellStart"/>
      <w:r>
        <w:t>Roadmap</w:t>
      </w:r>
      <w:proofErr w:type="spellEnd"/>
      <w:r>
        <w:t xml:space="preserve"> zijn NWO-financieringsrondes verbonden die bepalen welke plannen voor grootschalige </w:t>
      </w:r>
      <w:proofErr w:type="spellStart"/>
      <w:r>
        <w:t>onderzoeksinfrastructuur</w:t>
      </w:r>
      <w:proofErr w:type="spellEnd"/>
      <w:r>
        <w:t xml:space="preserve"> geld krijgen.</w:t>
      </w:r>
      <w:r w:rsidRPr="00863F57">
        <w:t xml:space="preserve"> </w:t>
      </w:r>
      <w:r w:rsidRPr="00923F58">
        <w:t xml:space="preserve">NWO zet de middelen voor de investeringen in GWI </w:t>
      </w:r>
      <w:r w:rsidR="00547C5B">
        <w:t>tijdens</w:t>
      </w:r>
      <w:r w:rsidRPr="00923F58">
        <w:t xml:space="preserve"> elke </w:t>
      </w:r>
      <w:proofErr w:type="spellStart"/>
      <w:r w:rsidRPr="00923F58">
        <w:t>Roadmap</w:t>
      </w:r>
      <w:proofErr w:type="spellEnd"/>
      <w:r w:rsidRPr="00923F58">
        <w:t xml:space="preserve">-periode in twee rondes uit. </w:t>
      </w:r>
      <w:r>
        <w:t>Over</w:t>
      </w:r>
      <w:r w:rsidRPr="00923F58">
        <w:t xml:space="preserve"> de uitslag van de eerste ronde </w:t>
      </w:r>
      <w:r w:rsidR="00EE2329">
        <w:t>is uw Kamer</w:t>
      </w:r>
      <w:r w:rsidRPr="00923F58">
        <w:t xml:space="preserve"> op 20 februari 2023 geïnformeerd.</w:t>
      </w:r>
      <w:r w:rsidRPr="00923F58">
        <w:rPr>
          <w:rStyle w:val="Voetnootmarkering"/>
        </w:rPr>
        <w:footnoteReference w:id="5"/>
      </w:r>
      <w:r w:rsidRPr="00923F58">
        <w:t xml:space="preserve"> </w:t>
      </w:r>
    </w:p>
    <w:p w:rsidR="00863F57" w:rsidP="00863F57" w:rsidRDefault="00863F57" w14:paraId="572B77F6" w14:textId="77777777"/>
    <w:p w:rsidR="00016506" w:rsidP="00863F57" w:rsidRDefault="00016506" w14:paraId="75C749D3" w14:textId="77777777"/>
    <w:p w:rsidR="00016506" w:rsidP="00863F57" w:rsidRDefault="00016506" w14:paraId="41AD2B3D" w14:textId="77777777"/>
    <w:p w:rsidR="00070AF5" w:rsidP="00070AF5" w:rsidRDefault="00070AF5" w14:paraId="0056579B" w14:textId="2073C8C3">
      <w:pPr>
        <w:rPr>
          <w:b/>
          <w:bCs/>
          <w:lang w:eastAsia="en-US"/>
        </w:rPr>
      </w:pPr>
      <w:r w:rsidRPr="009B27C9">
        <w:rPr>
          <w:b/>
          <w:bCs/>
        </w:rPr>
        <w:lastRenderedPageBreak/>
        <w:t>Uit</w:t>
      </w:r>
      <w:r>
        <w:rPr>
          <w:b/>
          <w:bCs/>
        </w:rPr>
        <w:t xml:space="preserve">slag </w:t>
      </w:r>
      <w:r w:rsidRPr="009B27C9">
        <w:rPr>
          <w:b/>
          <w:bCs/>
          <w:lang w:eastAsia="en-US"/>
        </w:rPr>
        <w:t xml:space="preserve">tweede financieringsronde </w:t>
      </w:r>
      <w:proofErr w:type="spellStart"/>
      <w:r w:rsidR="001E5DD7">
        <w:rPr>
          <w:b/>
          <w:bCs/>
          <w:lang w:eastAsia="en-US"/>
        </w:rPr>
        <w:t>Roadmap</w:t>
      </w:r>
      <w:proofErr w:type="spellEnd"/>
      <w:r>
        <w:rPr>
          <w:b/>
          <w:bCs/>
          <w:lang w:eastAsia="en-US"/>
        </w:rPr>
        <w:t xml:space="preserve"> 2021</w:t>
      </w:r>
    </w:p>
    <w:p w:rsidRPr="00923F58" w:rsidR="00923F58" w:rsidP="00923F58" w:rsidRDefault="00663E1F" w14:paraId="42653669" w14:textId="23A568CB">
      <w:r w:rsidRPr="00923F58">
        <w:t xml:space="preserve">Voor deze financieringsronde heeft NWO in totaal € 197 miljoen beschikbaar gesteld. </w:t>
      </w:r>
      <w:r w:rsidRPr="00923F58" w:rsidR="00923F58">
        <w:t xml:space="preserve">Na een uitgebreide voorselectie door het wetenschappelijke veld zijn in deze </w:t>
      </w:r>
      <w:r w:rsidR="001A1C26">
        <w:t>financierings</w:t>
      </w:r>
      <w:r w:rsidRPr="00923F58" w:rsidR="00923F58">
        <w:t xml:space="preserve">ronde 18 voorstellen ingediend. Het totaal aangevraagde budget bedroeg € 329 </w:t>
      </w:r>
      <w:r w:rsidR="00655148">
        <w:t>miljoen</w:t>
      </w:r>
      <w:r w:rsidRPr="00923F58" w:rsidR="00923F58">
        <w:t xml:space="preserve">. Daarnaast </w:t>
      </w:r>
      <w:r w:rsidR="001A1C26">
        <w:t>stellen</w:t>
      </w:r>
      <w:r w:rsidRPr="00923F58" w:rsidR="00923F58">
        <w:t xml:space="preserve"> de consortia </w:t>
      </w:r>
      <w:r w:rsidR="00923F58">
        <w:t xml:space="preserve">zelf </w:t>
      </w:r>
      <w:r w:rsidRPr="00923F58" w:rsidR="00923F58">
        <w:t xml:space="preserve">extra middelen beschikbaar </w:t>
      </w:r>
      <w:r w:rsidR="00923F58">
        <w:t xml:space="preserve">van </w:t>
      </w:r>
      <w:r w:rsidRPr="00923F58" w:rsidR="00923F58">
        <w:t>minimaal 25% van de projectomvang</w:t>
      </w:r>
      <w:r w:rsidR="001A1C26">
        <w:t xml:space="preserve">. Deze verplichte cofinanciering laat het belang zien dat de consortia hechten aan de voorstellen die ze doen. </w:t>
      </w:r>
      <w:r w:rsidRPr="00923F58" w:rsidR="00923F58">
        <w:t xml:space="preserve">De totale </w:t>
      </w:r>
      <w:r w:rsidR="00655148">
        <w:t xml:space="preserve">financiële </w:t>
      </w:r>
      <w:r w:rsidRPr="00923F58" w:rsidR="00923F58">
        <w:t xml:space="preserve">omvang van de 18 aangevraagde projecten bedroeg </w:t>
      </w:r>
      <w:r w:rsidR="00923F58">
        <w:t xml:space="preserve">daardoor </w:t>
      </w:r>
      <w:r w:rsidRPr="00923F58" w:rsidR="00923F58">
        <w:t>€ 488</w:t>
      </w:r>
      <w:r w:rsidR="00655148">
        <w:t xml:space="preserve"> miljoen</w:t>
      </w:r>
      <w:r w:rsidRPr="00923F58" w:rsidR="00923F58">
        <w:t>.</w:t>
      </w:r>
    </w:p>
    <w:p w:rsidR="00923F58" w:rsidP="006C73BB" w:rsidRDefault="00923F58" w14:paraId="3D5C9680" w14:textId="77777777"/>
    <w:p w:rsidR="00923F58" w:rsidP="00923F58" w:rsidRDefault="006C73BB" w14:paraId="71CC8501" w14:textId="708FA29B">
      <w:r w:rsidRPr="00BC0DE2">
        <w:t xml:space="preserve">De internationale beoordelingscommissie </w:t>
      </w:r>
      <w:r>
        <w:t>heeft</w:t>
      </w:r>
      <w:r w:rsidRPr="00BC0DE2">
        <w:t xml:space="preserve"> </w:t>
      </w:r>
      <w:r w:rsidR="00655148">
        <w:t xml:space="preserve">de </w:t>
      </w:r>
      <w:r w:rsidR="00923F58">
        <w:t>18</w:t>
      </w:r>
      <w:r w:rsidRPr="00BC0DE2">
        <w:t xml:space="preserve"> voorstellen </w:t>
      </w:r>
      <w:r w:rsidR="00923F58">
        <w:t>op kwaliteit beoordeeld en geprioriteerd</w:t>
      </w:r>
      <w:r w:rsidRPr="00BC0DE2">
        <w:t xml:space="preserve">. De </w:t>
      </w:r>
      <w:r w:rsidR="00016506">
        <w:t xml:space="preserve">Permanente Commissie voor Grootschalige Wetenschappelijke Infrastructuur </w:t>
      </w:r>
      <w:r w:rsidRPr="00BC0DE2">
        <w:t>heeft</w:t>
      </w:r>
      <w:r w:rsidR="00016506">
        <w:t xml:space="preserve"> daarna</w:t>
      </w:r>
      <w:r w:rsidRPr="00BC0DE2">
        <w:t xml:space="preserve"> </w:t>
      </w:r>
      <w:r w:rsidR="00923F58">
        <w:t xml:space="preserve">op basis van de prioritering </w:t>
      </w:r>
      <w:r w:rsidR="00016506">
        <w:t xml:space="preserve">van de </w:t>
      </w:r>
      <w:r w:rsidRPr="00BC0DE2" w:rsidR="00016506">
        <w:t xml:space="preserve">internationale beoordelingscommissie </w:t>
      </w:r>
      <w:r w:rsidR="00923F58">
        <w:t xml:space="preserve">en conform de strategische kaders van de subsidieronde een financieringsadvies afgegeven. Op 17 september jl. heeft de Raad van Bestuur (RvB) van NWO </w:t>
      </w:r>
      <w:r w:rsidR="00547C5B">
        <w:t>dit</w:t>
      </w:r>
      <w:r w:rsidR="00923F58">
        <w:t xml:space="preserve"> advies overgenomen. In totaal ontvangen 11 GWI-projecten een toewijzing. Samen met minima</w:t>
      </w:r>
      <w:r w:rsidR="00F4458A">
        <w:t>al</w:t>
      </w:r>
      <w:r w:rsidR="00923F58">
        <w:t xml:space="preserve"> 25% cofinanciering</w:t>
      </w:r>
      <w:r w:rsidR="00F4458A">
        <w:t xml:space="preserve"> per project</w:t>
      </w:r>
      <w:r w:rsidR="00923F58">
        <w:t xml:space="preserve"> komt dat neer op een investering van in totaal </w:t>
      </w:r>
      <w:r w:rsidRPr="00923F58" w:rsidR="00923F58">
        <w:t>€ 301 miljoen</w:t>
      </w:r>
      <w:r w:rsidR="00923F58">
        <w:t>.</w:t>
      </w:r>
    </w:p>
    <w:p w:rsidR="006C73BB" w:rsidP="006C73BB" w:rsidRDefault="006C73BB" w14:paraId="50B24B71" w14:textId="77777777"/>
    <w:p w:rsidR="006C73BB" w:rsidP="006C73BB" w:rsidRDefault="006C73BB" w14:paraId="5D3B2A16" w14:textId="0FB42EF7">
      <w:r>
        <w:t xml:space="preserve">De </w:t>
      </w:r>
      <w:r w:rsidR="00923F58">
        <w:t>toegewezen</w:t>
      </w:r>
      <w:r>
        <w:t xml:space="preserve"> </w:t>
      </w:r>
      <w:r w:rsidR="00923F58">
        <w:t>projecten</w:t>
      </w:r>
      <w:r>
        <w:t xml:space="preserve"> zijn verdeeld over alle </w:t>
      </w:r>
      <w:r w:rsidR="00923F58">
        <w:t>wetenschapsdomeinen</w:t>
      </w:r>
      <w:r>
        <w:t xml:space="preserve">, zowel Sociale &amp; Geesteswetenschappen, Technische &amp; Natuurwetenschappen en Levens- en Medische wetenschappen. De </w:t>
      </w:r>
      <w:r w:rsidR="00923F58">
        <w:t>toegewezen projecten</w:t>
      </w:r>
      <w:r>
        <w:t xml:space="preserve"> zijn: </w:t>
      </w:r>
    </w:p>
    <w:p w:rsidR="00923F58" w:rsidP="00923F58" w:rsidRDefault="00923F58" w14:paraId="7AF0ABEA" w14:textId="77777777">
      <w:pPr>
        <w:pStyle w:val="Lijstalinea"/>
        <w:numPr>
          <w:ilvl w:val="0"/>
          <w:numId w:val="15"/>
        </w:numPr>
      </w:pPr>
      <w:r w:rsidRPr="009C70AE">
        <w:t xml:space="preserve">AMICE: De </w:t>
      </w:r>
      <w:r>
        <w:t>nationale</w:t>
      </w:r>
      <w:r w:rsidRPr="009C70AE">
        <w:t xml:space="preserve"> infrastructuur van ge</w:t>
      </w:r>
      <w:r>
        <w:t>a</w:t>
      </w:r>
      <w:r w:rsidRPr="009C70AE">
        <w:t xml:space="preserve">vanceerde </w:t>
      </w:r>
      <w:r>
        <w:t>m</w:t>
      </w:r>
      <w:r w:rsidRPr="009C70AE">
        <w:t xml:space="preserve">ultimodale </w:t>
      </w:r>
      <w:r>
        <w:t>i</w:t>
      </w:r>
      <w:r w:rsidRPr="009C70AE">
        <w:t xml:space="preserve">maging </w:t>
      </w:r>
      <w:r>
        <w:t>ce</w:t>
      </w:r>
      <w:r w:rsidRPr="009C70AE">
        <w:t>ntra</w:t>
      </w:r>
      <w:r>
        <w:t>.</w:t>
      </w:r>
    </w:p>
    <w:p w:rsidR="00923F58" w:rsidP="00923F58" w:rsidRDefault="00923F58" w14:paraId="7E001DB3" w14:textId="77777777">
      <w:pPr>
        <w:pStyle w:val="Lijstalinea"/>
        <w:numPr>
          <w:ilvl w:val="0"/>
          <w:numId w:val="15"/>
        </w:numPr>
      </w:pPr>
      <w:proofErr w:type="spellStart"/>
      <w:r w:rsidRPr="009C70AE">
        <w:t>BioMotive</w:t>
      </w:r>
      <w:proofErr w:type="spellEnd"/>
      <w:r w:rsidRPr="009C70AE">
        <w:t xml:space="preserve">: </w:t>
      </w:r>
      <w:r>
        <w:t>Infrastructuur voor b</w:t>
      </w:r>
      <w:r w:rsidRPr="009C70AE">
        <w:t>eeldvorming van de biomechanica van het interne menselijk lichaam tijdens beweging</w:t>
      </w:r>
      <w:r>
        <w:t>.</w:t>
      </w:r>
    </w:p>
    <w:p w:rsidR="00923F58" w:rsidP="00923F58" w:rsidRDefault="00923F58" w14:paraId="6580593B" w14:textId="1BE2203B">
      <w:pPr>
        <w:pStyle w:val="Lijstalinea"/>
        <w:numPr>
          <w:ilvl w:val="0"/>
          <w:numId w:val="15"/>
        </w:numPr>
      </w:pPr>
      <w:proofErr w:type="spellStart"/>
      <w:r w:rsidRPr="009C70AE">
        <w:t>BioBeyond_NL</w:t>
      </w:r>
      <w:proofErr w:type="spellEnd"/>
      <w:r w:rsidRPr="009C70AE">
        <w:t xml:space="preserve">: </w:t>
      </w:r>
      <w:r>
        <w:t xml:space="preserve">Infrastructuur om de structuur en functie van complexe biomoleculen </w:t>
      </w:r>
      <w:r w:rsidR="00772659">
        <w:t>te onderzoeken</w:t>
      </w:r>
      <w:r>
        <w:t xml:space="preserve"> in hun natuurlijke moleculaire, cellulaire en weefsel context.</w:t>
      </w:r>
    </w:p>
    <w:p w:rsidR="00923F58" w:rsidP="00923F58" w:rsidRDefault="00923F58" w14:paraId="07EC1A5B" w14:textId="067A5584">
      <w:pPr>
        <w:pStyle w:val="Lijstalinea"/>
        <w:numPr>
          <w:ilvl w:val="0"/>
          <w:numId w:val="15"/>
        </w:numPr>
      </w:pPr>
      <w:r w:rsidRPr="00493275">
        <w:t xml:space="preserve">DXCP: </w:t>
      </w:r>
      <w:r>
        <w:t xml:space="preserve">Een Nederlands platform voor de </w:t>
      </w:r>
      <w:r w:rsidRPr="00493275">
        <w:t xml:space="preserve">laboratorium-gebaseerde karakterisering </w:t>
      </w:r>
      <w:r>
        <w:t xml:space="preserve">van functionele materialen via </w:t>
      </w:r>
      <w:r w:rsidRPr="00493275">
        <w:t>röntgenstr</w:t>
      </w:r>
      <w:r>
        <w:t>aling.</w:t>
      </w:r>
    </w:p>
    <w:p w:rsidR="00923F58" w:rsidP="00923F58" w:rsidRDefault="00923F58" w14:paraId="07BBDA72" w14:textId="77777777">
      <w:pPr>
        <w:pStyle w:val="Lijstalinea"/>
        <w:numPr>
          <w:ilvl w:val="0"/>
          <w:numId w:val="15"/>
        </w:numPr>
      </w:pPr>
      <w:r w:rsidRPr="00F85917">
        <w:t>EBRAINS-</w:t>
      </w:r>
      <w:proofErr w:type="spellStart"/>
      <w:r w:rsidRPr="00F85917">
        <w:t>Neurotech</w:t>
      </w:r>
      <w:proofErr w:type="spellEnd"/>
      <w:r w:rsidRPr="00F85917">
        <w:t xml:space="preserve">: </w:t>
      </w:r>
      <w:r>
        <w:t>S</w:t>
      </w:r>
      <w:r w:rsidRPr="00493275">
        <w:t>limme apparatuur om hersenactiviteit uit te lezen en te beïnvloeden</w:t>
      </w:r>
      <w:r>
        <w:t>.</w:t>
      </w:r>
    </w:p>
    <w:p w:rsidRPr="00493275" w:rsidR="00923F58" w:rsidP="00923F58" w:rsidRDefault="00923F58" w14:paraId="4CB80288" w14:textId="45C29E16">
      <w:pPr>
        <w:pStyle w:val="Lijstalinea"/>
        <w:numPr>
          <w:ilvl w:val="0"/>
          <w:numId w:val="15"/>
        </w:numPr>
      </w:pPr>
      <w:proofErr w:type="spellStart"/>
      <w:r w:rsidRPr="00AE7C4E">
        <w:t>EMPower</w:t>
      </w:r>
      <w:proofErr w:type="spellEnd"/>
      <w:r w:rsidRPr="00AE7C4E">
        <w:t xml:space="preserve">: </w:t>
      </w:r>
      <w:r>
        <w:t>De</w:t>
      </w:r>
      <w:r w:rsidRPr="00AE7C4E">
        <w:t xml:space="preserve"> nationale infrastructuur om de geheimen van het leven op moleculair niveau te ontrafelen</w:t>
      </w:r>
      <w:r w:rsidR="00772659">
        <w:t>.</w:t>
      </w:r>
    </w:p>
    <w:p w:rsidR="00923F58" w:rsidP="00923F58" w:rsidRDefault="00923F58" w14:paraId="4A46014F" w14:textId="77777777">
      <w:pPr>
        <w:pStyle w:val="Lijstalinea"/>
        <w:numPr>
          <w:ilvl w:val="0"/>
          <w:numId w:val="15"/>
        </w:numPr>
      </w:pPr>
      <w:r w:rsidRPr="009C70AE">
        <w:t xml:space="preserve">FASTTRACK: </w:t>
      </w:r>
      <w:r>
        <w:t>Detectoren voor het u</w:t>
      </w:r>
      <w:r w:rsidRPr="009C70AE">
        <w:t xml:space="preserve">ltrasnel afbeelden van botsende deeltjes in de Large </w:t>
      </w:r>
      <w:proofErr w:type="spellStart"/>
      <w:r w:rsidRPr="009C70AE">
        <w:t>Hadron</w:t>
      </w:r>
      <w:proofErr w:type="spellEnd"/>
      <w:r w:rsidRPr="009C70AE">
        <w:t xml:space="preserve"> Collider</w:t>
      </w:r>
      <w:r>
        <w:t>.</w:t>
      </w:r>
    </w:p>
    <w:p w:rsidR="00923F58" w:rsidP="00923F58" w:rsidRDefault="00923F58" w14:paraId="7AAD0EBC" w14:textId="36F53D09">
      <w:pPr>
        <w:pStyle w:val="Lijstalinea"/>
        <w:numPr>
          <w:ilvl w:val="0"/>
          <w:numId w:val="15"/>
        </w:numPr>
      </w:pPr>
      <w:r w:rsidRPr="009C70AE">
        <w:t>KM3NeT++: Een telescoop voor neutrino's op de bodem van de Middellandse Zee.</w:t>
      </w:r>
    </w:p>
    <w:p w:rsidR="00923F58" w:rsidP="00923F58" w:rsidRDefault="00923F58" w14:paraId="5C1B36BC" w14:textId="4D8A2987">
      <w:pPr>
        <w:pStyle w:val="Lijstalinea"/>
        <w:numPr>
          <w:ilvl w:val="0"/>
          <w:numId w:val="15"/>
        </w:numPr>
      </w:pPr>
      <w:r w:rsidRPr="009C70AE">
        <w:t>De Macroscoop</w:t>
      </w:r>
      <w:r>
        <w:t>: Een infrastructuur voor het op een veilige manier beschikbaar maken van</w:t>
      </w:r>
      <w:r w:rsidRPr="009C70AE">
        <w:t xml:space="preserve"> grote hoeveelheden gevoelige, onderling verbonden data </w:t>
      </w:r>
      <w:r>
        <w:t>voor onderzoek naar complexe maatschappelijke problemen</w:t>
      </w:r>
      <w:r w:rsidR="00772659">
        <w:t>.</w:t>
      </w:r>
    </w:p>
    <w:p w:rsidRPr="00F85917" w:rsidR="00923F58" w:rsidP="00923F58" w:rsidRDefault="00923F58" w14:paraId="1B0FAEA1" w14:textId="77777777">
      <w:pPr>
        <w:pStyle w:val="Lijstalinea"/>
        <w:numPr>
          <w:ilvl w:val="0"/>
          <w:numId w:val="15"/>
        </w:numPr>
      </w:pPr>
      <w:r w:rsidRPr="00493275">
        <w:t>NCC: Het Nederlands Cohorten Consortium</w:t>
      </w:r>
      <w:r>
        <w:t xml:space="preserve"> voor </w:t>
      </w:r>
      <w:r>
        <w:rPr>
          <w:rFonts w:eastAsia="Aptos" w:cs="Calibri"/>
          <w:bCs/>
          <w:kern w:val="2"/>
          <w14:ligatures w14:val="standardContextual"/>
        </w:rPr>
        <w:t xml:space="preserve">de </w:t>
      </w:r>
      <w:r w:rsidRPr="00A23D73">
        <w:rPr>
          <w:rFonts w:eastAsia="Aptos" w:cs="Calibri"/>
          <w:bCs/>
          <w:kern w:val="2"/>
          <w14:ligatures w14:val="standardContextual"/>
        </w:rPr>
        <w:t>harmonisatie en consolidatie van nieuwe en bestaande datasets van elf cohort</w:t>
      </w:r>
      <w:r>
        <w:rPr>
          <w:rFonts w:eastAsia="Aptos" w:cs="Calibri"/>
          <w:bCs/>
          <w:kern w:val="2"/>
          <w14:ligatures w14:val="standardContextual"/>
        </w:rPr>
        <w:t xml:space="preserve"> studies.</w:t>
      </w:r>
    </w:p>
    <w:p w:rsidR="00923F58" w:rsidP="00923F58" w:rsidRDefault="00923F58" w14:paraId="43AB1248" w14:textId="0F49D290">
      <w:pPr>
        <w:pStyle w:val="Lijstalinea"/>
        <w:numPr>
          <w:ilvl w:val="0"/>
          <w:numId w:val="15"/>
        </w:numPr>
      </w:pPr>
      <w:r w:rsidRPr="00F85917">
        <w:t xml:space="preserve">UTOPYS: </w:t>
      </w:r>
      <w:r w:rsidR="00772659">
        <w:t>E</w:t>
      </w:r>
      <w:r>
        <w:t>en grote</w:t>
      </w:r>
      <w:r w:rsidRPr="00706EDD">
        <w:t xml:space="preserve"> academische, real-time elektromagnetische </w:t>
      </w:r>
      <w:proofErr w:type="spellStart"/>
      <w:r w:rsidRPr="00706EDD">
        <w:t>transiënt</w:t>
      </w:r>
      <w:proofErr w:type="spellEnd"/>
      <w:r w:rsidRPr="00706EDD">
        <w:t xml:space="preserve"> simulator </w:t>
      </w:r>
      <w:r>
        <w:t xml:space="preserve">voor het creëren van een </w:t>
      </w:r>
      <w:r w:rsidRPr="00706EDD">
        <w:t xml:space="preserve">virtueel energiesysteem </w:t>
      </w:r>
      <w:r>
        <w:t>die onderzoek naar grote en complexe energiesystemen mogelijk maakt.</w:t>
      </w:r>
    </w:p>
    <w:p w:rsidR="006C73BB" w:rsidP="006C73BB" w:rsidRDefault="006C73BB" w14:paraId="44D53FE6" w14:textId="050FC486">
      <w:r>
        <w:t>In de bijlage vindt u</w:t>
      </w:r>
      <w:r w:rsidR="00663E1F">
        <w:t>w Kamer</w:t>
      </w:r>
      <w:r>
        <w:t xml:space="preserve"> </w:t>
      </w:r>
      <w:r w:rsidR="00B572DA">
        <w:t>een</w:t>
      </w:r>
      <w:r>
        <w:t xml:space="preserve"> toelichting op de </w:t>
      </w:r>
      <w:r w:rsidR="00923F58">
        <w:t>toegewezen projecten</w:t>
      </w:r>
      <w:r>
        <w:t>.</w:t>
      </w:r>
    </w:p>
    <w:p w:rsidR="00923F58" w:rsidP="006C73BB" w:rsidRDefault="00923F58" w14:paraId="583BDDE9" w14:textId="77777777"/>
    <w:p w:rsidR="00016506" w:rsidP="006C73BB" w:rsidRDefault="00016506" w14:paraId="26C275E2" w14:textId="77777777"/>
    <w:p w:rsidRPr="00016506" w:rsidR="00663E1F" w:rsidP="00080545" w:rsidRDefault="00663E1F" w14:paraId="43429872" w14:textId="72EBC929">
      <w:pPr>
        <w:rPr>
          <w:b/>
          <w:bCs/>
        </w:rPr>
      </w:pPr>
      <w:r>
        <w:rPr>
          <w:b/>
          <w:bCs/>
        </w:rPr>
        <w:lastRenderedPageBreak/>
        <w:t>Vervolg</w:t>
      </w:r>
    </w:p>
    <w:p w:rsidR="007851C4" w:rsidP="00080545" w:rsidRDefault="00663E1F" w14:paraId="62E233E3" w14:textId="46BAB1DF">
      <w:r w:rsidRPr="00923F58">
        <w:t>De volgende</w:t>
      </w:r>
      <w:r w:rsidRPr="00663E1F">
        <w:t xml:space="preserve"> </w:t>
      </w:r>
      <w:r w:rsidRPr="00141B0A">
        <w:t>Nationale</w:t>
      </w:r>
      <w:r w:rsidRPr="00923F58">
        <w:t xml:space="preserve"> </w:t>
      </w:r>
      <w:proofErr w:type="spellStart"/>
      <w:r w:rsidRPr="00923F58">
        <w:t>Roadmap</w:t>
      </w:r>
      <w:proofErr w:type="spellEnd"/>
      <w:r w:rsidRPr="00923F58">
        <w:t xml:space="preserve"> zal in 2026 gepubliceerd worden.</w:t>
      </w:r>
      <w:r>
        <w:t xml:space="preserve"> Ook in de financieringsrondes binnen die </w:t>
      </w:r>
      <w:proofErr w:type="spellStart"/>
      <w:r>
        <w:t>Roadmap</w:t>
      </w:r>
      <w:proofErr w:type="spellEnd"/>
      <w:r w:rsidR="00481A70">
        <w:t xml:space="preserve"> zal ik uw Kamer informeren over de uitkomsten, conform de toezegging uit 2016.</w:t>
      </w:r>
      <w:r w:rsidR="00481A70">
        <w:rPr>
          <w:rStyle w:val="Voetnootmarkering"/>
        </w:rPr>
        <w:footnoteReference w:id="6"/>
      </w:r>
      <w:r w:rsidR="00481A70">
        <w:t xml:space="preserve"> Hoewel het geen beleidsvorming betreft, </w:t>
      </w:r>
      <w:r w:rsidRPr="00141B0A" w:rsidR="00141B0A">
        <w:t>werd u</w:t>
      </w:r>
      <w:r w:rsidR="00657B1B">
        <w:t>w Kamer</w:t>
      </w:r>
      <w:r w:rsidRPr="00141B0A" w:rsidR="00141B0A">
        <w:t xml:space="preserve"> vooraf geïnformeerd over de resultaten van financieringsrondes </w:t>
      </w:r>
      <w:r w:rsidR="00141B0A">
        <w:t>behorende bij</w:t>
      </w:r>
      <w:r w:rsidRPr="00141B0A" w:rsidR="00141B0A">
        <w:t xml:space="preserve"> de Nationale </w:t>
      </w:r>
      <w:proofErr w:type="spellStart"/>
      <w:r w:rsidRPr="00141B0A" w:rsidR="00141B0A">
        <w:t>Roadmaps</w:t>
      </w:r>
      <w:proofErr w:type="spellEnd"/>
      <w:r w:rsidRPr="00141B0A" w:rsidR="00141B0A">
        <w:t xml:space="preserve">, nog vóór publicatie door NWO. </w:t>
      </w:r>
      <w:r w:rsidR="00481A70">
        <w:t xml:space="preserve">Voortaan zal ik uw Kamer informeren na publicatie door NWO. </w:t>
      </w:r>
      <w:r w:rsidRPr="00141B0A" w:rsidR="00141B0A">
        <w:t>Hierdoor kan NWO de procedures versnellen, krijgen aanvragers sneller duidelijkheid en kunnen NWO en aanvragers eerder communiceren over de resultaten</w:t>
      </w:r>
      <w:r w:rsidR="00080545">
        <w:t>.</w:t>
      </w:r>
    </w:p>
    <w:p w:rsidR="00831081" w:rsidP="00080545" w:rsidRDefault="00831081" w14:paraId="61A22D96" w14:textId="77777777"/>
    <w:p w:rsidR="00820DDA" w:rsidP="00CA35E4" w:rsidRDefault="00BF5B0B" w14:paraId="1AED6C93" w14:textId="6D802B86">
      <w:r>
        <w:t>De minister van Onderwijs, Cultuur en Wetenschap,</w:t>
      </w:r>
    </w:p>
    <w:p w:rsidR="0053657A" w:rsidP="003A7160" w:rsidRDefault="0053657A" w14:paraId="76B5BA85" w14:textId="77777777"/>
    <w:p w:rsidR="000F521E" w:rsidP="003A7160" w:rsidRDefault="000F521E" w14:paraId="4398002C" w14:textId="77777777"/>
    <w:p w:rsidR="00A37E61" w:rsidP="003A7160" w:rsidRDefault="00A37E61" w14:paraId="47F56B4F" w14:textId="77777777"/>
    <w:p w:rsidR="00376654" w:rsidP="003A7160" w:rsidRDefault="00376654" w14:paraId="466EDA8B" w14:textId="77777777"/>
    <w:p w:rsidRPr="00820DDA" w:rsidR="00820DDA" w:rsidP="0053657A" w:rsidRDefault="009B27C9" w14:paraId="01EF9B6E" w14:textId="762BC8B9">
      <w:pPr>
        <w:pStyle w:val="standaard-tekst"/>
      </w:pPr>
      <w:proofErr w:type="spellStart"/>
      <w:r>
        <w:t>Gouke</w:t>
      </w:r>
      <w:proofErr w:type="spellEnd"/>
      <w:r>
        <w:t xml:space="preserve"> Moes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01F" w14:textId="77777777" w:rsidR="00DC691C" w:rsidRDefault="00BF5B0B">
      <w:r>
        <w:separator/>
      </w:r>
    </w:p>
    <w:p w14:paraId="41677159" w14:textId="77777777" w:rsidR="00DC691C" w:rsidRDefault="00DC691C"/>
  </w:endnote>
  <w:endnote w:type="continuationSeparator" w:id="0">
    <w:p w14:paraId="5FB76302" w14:textId="77777777" w:rsidR="00DC691C" w:rsidRDefault="00BF5B0B">
      <w:r>
        <w:continuationSeparator/>
      </w:r>
    </w:p>
    <w:p w14:paraId="195E1D3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C3F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31AC2" w14:paraId="7B745296" w14:textId="77777777" w:rsidTr="004C7E1D">
      <w:trPr>
        <w:trHeight w:hRule="exact" w:val="357"/>
      </w:trPr>
      <w:tc>
        <w:tcPr>
          <w:tcW w:w="7603" w:type="dxa"/>
        </w:tcPr>
        <w:p w14:paraId="7217EFE1" w14:textId="77777777" w:rsidR="002F71BB" w:rsidRPr="004C7E1D" w:rsidRDefault="002F71BB" w:rsidP="004C7E1D">
          <w:pPr>
            <w:spacing w:line="180" w:lineRule="exact"/>
            <w:rPr>
              <w:sz w:val="13"/>
              <w:szCs w:val="13"/>
            </w:rPr>
          </w:pPr>
        </w:p>
      </w:tc>
      <w:tc>
        <w:tcPr>
          <w:tcW w:w="2172" w:type="dxa"/>
        </w:tcPr>
        <w:p w14:paraId="1B5A8A32" w14:textId="68C50540" w:rsidR="002F71BB" w:rsidRPr="004C7E1D" w:rsidRDefault="00BF5B0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2D0B">
            <w:rPr>
              <w:szCs w:val="13"/>
            </w:rPr>
            <w:t>4</w:t>
          </w:r>
          <w:r w:rsidRPr="004C7E1D">
            <w:rPr>
              <w:szCs w:val="13"/>
            </w:rPr>
            <w:fldChar w:fldCharType="end"/>
          </w:r>
        </w:p>
      </w:tc>
    </w:tr>
  </w:tbl>
  <w:p w14:paraId="38914E1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31AC2" w14:paraId="4FDEF7F2" w14:textId="77777777" w:rsidTr="004C7E1D">
      <w:trPr>
        <w:trHeight w:hRule="exact" w:val="357"/>
      </w:trPr>
      <w:tc>
        <w:tcPr>
          <w:tcW w:w="7709" w:type="dxa"/>
        </w:tcPr>
        <w:p w14:paraId="47666DF3" w14:textId="77777777" w:rsidR="00D17084" w:rsidRPr="004C7E1D" w:rsidRDefault="00D17084" w:rsidP="004C7E1D">
          <w:pPr>
            <w:spacing w:line="180" w:lineRule="exact"/>
            <w:rPr>
              <w:sz w:val="13"/>
              <w:szCs w:val="13"/>
            </w:rPr>
          </w:pPr>
        </w:p>
      </w:tc>
      <w:tc>
        <w:tcPr>
          <w:tcW w:w="2060" w:type="dxa"/>
        </w:tcPr>
        <w:p w14:paraId="3F94F099" w14:textId="5887E5B3" w:rsidR="00D17084" w:rsidRPr="004C7E1D" w:rsidRDefault="00BF5B0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52D0B">
            <w:rPr>
              <w:szCs w:val="13"/>
            </w:rPr>
            <w:t>4</w:t>
          </w:r>
          <w:r w:rsidRPr="004C7E1D">
            <w:rPr>
              <w:szCs w:val="13"/>
            </w:rPr>
            <w:fldChar w:fldCharType="end"/>
          </w:r>
        </w:p>
      </w:tc>
    </w:tr>
  </w:tbl>
  <w:p w14:paraId="37DADB0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36DD" w14:textId="77777777" w:rsidR="00DC691C" w:rsidRDefault="00BF5B0B">
      <w:r>
        <w:separator/>
      </w:r>
    </w:p>
    <w:p w14:paraId="483EA0D7" w14:textId="77777777" w:rsidR="00DC691C" w:rsidRDefault="00DC691C"/>
  </w:footnote>
  <w:footnote w:type="continuationSeparator" w:id="0">
    <w:p w14:paraId="7F03325C" w14:textId="77777777" w:rsidR="00DC691C" w:rsidRDefault="00BF5B0B">
      <w:r>
        <w:continuationSeparator/>
      </w:r>
    </w:p>
    <w:p w14:paraId="38AFF739" w14:textId="77777777" w:rsidR="00DC691C" w:rsidRDefault="00DC691C"/>
  </w:footnote>
  <w:footnote w:id="1">
    <w:p w14:paraId="2D1AE828" w14:textId="4EF93CD7" w:rsidR="00EE2329" w:rsidRDefault="00EE2329" w:rsidP="00EE2329">
      <w:pPr>
        <w:pStyle w:val="Voetnoottekst"/>
      </w:pPr>
      <w:r>
        <w:rPr>
          <w:rStyle w:val="Voetnootmarkering"/>
        </w:rPr>
        <w:footnoteRef/>
      </w:r>
      <w:r>
        <w:t xml:space="preserve"> Brief </w:t>
      </w:r>
      <w:r w:rsidR="009440E9">
        <w:t xml:space="preserve">strategische </w:t>
      </w:r>
      <w:proofErr w:type="spellStart"/>
      <w:r>
        <w:t>Roadmap</w:t>
      </w:r>
      <w:proofErr w:type="spellEnd"/>
      <w:r>
        <w:t xml:space="preserve"> (</w:t>
      </w:r>
      <w:r w:rsidRPr="00141B0A">
        <w:t>Kamerstuk 27 406, nr. 224</w:t>
      </w:r>
      <w:r>
        <w:t xml:space="preserve"> en </w:t>
      </w:r>
      <w:hyperlink r:id="rId1" w:history="1">
        <w:r w:rsidRPr="00547C5B">
          <w:rPr>
            <w:rStyle w:val="Hyperlink"/>
          </w:rPr>
          <w:t>link</w:t>
        </w:r>
      </w:hyperlink>
      <w:r>
        <w:t>)</w:t>
      </w:r>
      <w:r w:rsidR="009440E9">
        <w:t xml:space="preserve">, bouwt voort op de in 2008 ingesteld </w:t>
      </w:r>
      <w:proofErr w:type="spellStart"/>
      <w:r w:rsidR="009440E9">
        <w:t>Roadmap</w:t>
      </w:r>
      <w:proofErr w:type="spellEnd"/>
      <w:r w:rsidR="009440E9">
        <w:t>.</w:t>
      </w:r>
    </w:p>
  </w:footnote>
  <w:footnote w:id="2">
    <w:p w14:paraId="6D2641C1" w14:textId="77777777" w:rsidR="00663E1F" w:rsidRPr="00841A71" w:rsidRDefault="00663E1F" w:rsidP="00663E1F">
      <w:pPr>
        <w:pStyle w:val="Voetnoottekst"/>
        <w:spacing w:line="240" w:lineRule="auto"/>
        <w:rPr>
          <w:sz w:val="14"/>
          <w:szCs w:val="14"/>
        </w:rPr>
      </w:pPr>
      <w:r w:rsidRPr="00841A71">
        <w:rPr>
          <w:rStyle w:val="Voetnootmarkering"/>
          <w:sz w:val="14"/>
          <w:szCs w:val="14"/>
        </w:rPr>
        <w:footnoteRef/>
      </w:r>
      <w:r w:rsidRPr="00841A71">
        <w:rPr>
          <w:sz w:val="14"/>
          <w:szCs w:val="14"/>
        </w:rPr>
        <w:t xml:space="preserve"> Zie voor een nadere onderbouwing van het belang van onderzoeks- en technologie-infrastructuur</w:t>
      </w:r>
      <w:r>
        <w:rPr>
          <w:sz w:val="14"/>
          <w:szCs w:val="14"/>
        </w:rPr>
        <w:t xml:space="preserve"> onder andere</w:t>
      </w:r>
      <w:r w:rsidRPr="00841A71">
        <w:rPr>
          <w:sz w:val="14"/>
          <w:szCs w:val="14"/>
        </w:rPr>
        <w:t xml:space="preserve"> de </w:t>
      </w:r>
      <w:hyperlink r:id="rId2" w:history="1">
        <w:proofErr w:type="spellStart"/>
        <w:r w:rsidRPr="00841A71">
          <w:rPr>
            <w:rStyle w:val="Hyperlink"/>
            <w:sz w:val="14"/>
            <w:szCs w:val="14"/>
          </w:rPr>
          <w:t>Heitor</w:t>
        </w:r>
        <w:proofErr w:type="spellEnd"/>
      </w:hyperlink>
      <w:r w:rsidRPr="00841A71">
        <w:rPr>
          <w:sz w:val="14"/>
          <w:szCs w:val="14"/>
        </w:rPr>
        <w:t xml:space="preserve">, </w:t>
      </w:r>
      <w:hyperlink r:id="rId3" w:history="1">
        <w:proofErr w:type="spellStart"/>
        <w:r w:rsidRPr="00841A71">
          <w:rPr>
            <w:rStyle w:val="Hyperlink"/>
            <w:sz w:val="14"/>
            <w:szCs w:val="14"/>
          </w:rPr>
          <w:t>Letta</w:t>
        </w:r>
        <w:proofErr w:type="spellEnd"/>
      </w:hyperlink>
      <w:r w:rsidRPr="00841A71">
        <w:rPr>
          <w:sz w:val="14"/>
          <w:szCs w:val="14"/>
        </w:rPr>
        <w:t xml:space="preserve">, </w:t>
      </w:r>
      <w:hyperlink r:id="rId4" w:history="1">
        <w:proofErr w:type="spellStart"/>
        <w:r w:rsidRPr="00841A71">
          <w:rPr>
            <w:rStyle w:val="Hyperlink"/>
            <w:sz w:val="14"/>
            <w:szCs w:val="14"/>
          </w:rPr>
          <w:t>Draghi</w:t>
        </w:r>
        <w:proofErr w:type="spellEnd"/>
      </w:hyperlink>
      <w:r w:rsidRPr="00841A71">
        <w:rPr>
          <w:sz w:val="14"/>
          <w:szCs w:val="14"/>
        </w:rPr>
        <w:t xml:space="preserve"> en </w:t>
      </w:r>
      <w:hyperlink r:id="rId5" w:history="1">
        <w:proofErr w:type="spellStart"/>
        <w:r w:rsidRPr="00841A71">
          <w:rPr>
            <w:rStyle w:val="Hyperlink"/>
            <w:sz w:val="14"/>
            <w:szCs w:val="14"/>
          </w:rPr>
          <w:t>Niinistö</w:t>
        </w:r>
        <w:proofErr w:type="spellEnd"/>
      </w:hyperlink>
      <w:r w:rsidRPr="00841A71">
        <w:rPr>
          <w:sz w:val="14"/>
          <w:szCs w:val="14"/>
        </w:rPr>
        <w:t xml:space="preserve"> rapporten en de </w:t>
      </w:r>
      <w:hyperlink r:id="rId6" w:history="1">
        <w:r w:rsidRPr="00841A71">
          <w:rPr>
            <w:rStyle w:val="Hyperlink"/>
            <w:sz w:val="14"/>
            <w:szCs w:val="14"/>
          </w:rPr>
          <w:t>Brno</w:t>
        </w:r>
      </w:hyperlink>
      <w:r w:rsidRPr="00841A71">
        <w:rPr>
          <w:sz w:val="14"/>
          <w:szCs w:val="14"/>
        </w:rPr>
        <w:t xml:space="preserve"> en </w:t>
      </w:r>
      <w:hyperlink r:id="rId7" w:history="1">
        <w:r w:rsidRPr="00841A71">
          <w:rPr>
            <w:rStyle w:val="Hyperlink"/>
            <w:sz w:val="14"/>
            <w:szCs w:val="14"/>
          </w:rPr>
          <w:t>Tenerife</w:t>
        </w:r>
      </w:hyperlink>
      <w:r w:rsidRPr="00841A71">
        <w:rPr>
          <w:sz w:val="14"/>
          <w:szCs w:val="14"/>
        </w:rPr>
        <w:t xml:space="preserve"> </w:t>
      </w:r>
      <w:proofErr w:type="spellStart"/>
      <w:r w:rsidRPr="00841A71">
        <w:rPr>
          <w:sz w:val="14"/>
          <w:szCs w:val="14"/>
        </w:rPr>
        <w:t>Declarations</w:t>
      </w:r>
      <w:proofErr w:type="spellEnd"/>
      <w:r w:rsidRPr="00841A71">
        <w:rPr>
          <w:sz w:val="14"/>
          <w:szCs w:val="14"/>
        </w:rPr>
        <w:t xml:space="preserve">, het </w:t>
      </w:r>
      <w:hyperlink r:id="rId8" w:history="1">
        <w:proofErr w:type="spellStart"/>
        <w:r w:rsidRPr="00841A71">
          <w:rPr>
            <w:rStyle w:val="Hyperlink"/>
            <w:sz w:val="14"/>
            <w:szCs w:val="14"/>
          </w:rPr>
          <w:t>Competitiveness</w:t>
        </w:r>
        <w:proofErr w:type="spellEnd"/>
        <w:r w:rsidRPr="00841A71">
          <w:rPr>
            <w:rStyle w:val="Hyperlink"/>
            <w:sz w:val="14"/>
            <w:szCs w:val="14"/>
          </w:rPr>
          <w:t xml:space="preserve"> Compass</w:t>
        </w:r>
      </w:hyperlink>
      <w:r w:rsidRPr="00841A71">
        <w:rPr>
          <w:sz w:val="14"/>
          <w:szCs w:val="14"/>
        </w:rPr>
        <w:t xml:space="preserve"> en </w:t>
      </w:r>
      <w:hyperlink r:id="rId9" w:history="1">
        <w:r w:rsidRPr="00841A71">
          <w:rPr>
            <w:rStyle w:val="Hyperlink"/>
            <w:sz w:val="14"/>
            <w:szCs w:val="14"/>
          </w:rPr>
          <w:t xml:space="preserve">A European </w:t>
        </w:r>
        <w:proofErr w:type="spellStart"/>
        <w:r w:rsidRPr="00841A71">
          <w:rPr>
            <w:rStyle w:val="Hyperlink"/>
            <w:sz w:val="14"/>
            <w:szCs w:val="14"/>
          </w:rPr>
          <w:t>Strategy</w:t>
        </w:r>
        <w:proofErr w:type="spellEnd"/>
        <w:r w:rsidRPr="00841A71">
          <w:rPr>
            <w:rStyle w:val="Hyperlink"/>
            <w:sz w:val="14"/>
            <w:szCs w:val="14"/>
          </w:rPr>
          <w:t xml:space="preserve"> on Research </w:t>
        </w:r>
        <w:proofErr w:type="spellStart"/>
        <w:r w:rsidRPr="00841A71">
          <w:rPr>
            <w:rStyle w:val="Hyperlink"/>
            <w:sz w:val="14"/>
            <w:szCs w:val="14"/>
          </w:rPr>
          <w:t>and</w:t>
        </w:r>
        <w:proofErr w:type="spellEnd"/>
        <w:r w:rsidRPr="00841A71">
          <w:rPr>
            <w:rStyle w:val="Hyperlink"/>
            <w:sz w:val="14"/>
            <w:szCs w:val="14"/>
          </w:rPr>
          <w:t xml:space="preserve"> Technology </w:t>
        </w:r>
        <w:proofErr w:type="spellStart"/>
        <w:r w:rsidRPr="00841A71">
          <w:rPr>
            <w:rStyle w:val="Hyperlink"/>
            <w:sz w:val="14"/>
            <w:szCs w:val="14"/>
          </w:rPr>
          <w:t>Infrastructures</w:t>
        </w:r>
        <w:proofErr w:type="spellEnd"/>
      </w:hyperlink>
      <w:r w:rsidRPr="00841A71">
        <w:rPr>
          <w:sz w:val="14"/>
          <w:szCs w:val="14"/>
        </w:rPr>
        <w:t>.</w:t>
      </w:r>
    </w:p>
  </w:footnote>
  <w:footnote w:id="3">
    <w:p w14:paraId="6FB5730F" w14:textId="77777777" w:rsidR="00663E1F" w:rsidRPr="00841A71" w:rsidRDefault="00663E1F" w:rsidP="00663E1F">
      <w:pPr>
        <w:pStyle w:val="Voetnoottekst"/>
        <w:spacing w:line="240" w:lineRule="auto"/>
        <w:rPr>
          <w:sz w:val="14"/>
          <w:szCs w:val="14"/>
        </w:rPr>
      </w:pPr>
      <w:r w:rsidRPr="00841A71">
        <w:rPr>
          <w:rStyle w:val="Voetnootmarkering"/>
          <w:sz w:val="14"/>
          <w:szCs w:val="14"/>
        </w:rPr>
        <w:footnoteRef/>
      </w:r>
      <w:r w:rsidRPr="00841A71">
        <w:rPr>
          <w:sz w:val="14"/>
          <w:szCs w:val="14"/>
        </w:rPr>
        <w:t xml:space="preserve"> Brief 3%-RD-actieplan (Kamerstuk 33 009, nr. 165 en </w:t>
      </w:r>
      <w:hyperlink r:id="rId10" w:history="1">
        <w:r w:rsidRPr="00841A71">
          <w:rPr>
            <w:rStyle w:val="Hyperlink"/>
            <w:sz w:val="14"/>
            <w:szCs w:val="14"/>
          </w:rPr>
          <w:t>link</w:t>
        </w:r>
      </w:hyperlink>
      <w:r w:rsidRPr="00841A71">
        <w:rPr>
          <w:sz w:val="14"/>
          <w:szCs w:val="14"/>
        </w:rPr>
        <w:t>).</w:t>
      </w:r>
    </w:p>
  </w:footnote>
  <w:footnote w:id="4">
    <w:p w14:paraId="28FEAA4A" w14:textId="77777777" w:rsidR="00EE2329" w:rsidRPr="00841A71" w:rsidRDefault="00EE2329" w:rsidP="00EE2329">
      <w:pPr>
        <w:pStyle w:val="Voetnoottekst"/>
        <w:spacing w:line="240" w:lineRule="auto"/>
        <w:rPr>
          <w:sz w:val="14"/>
          <w:szCs w:val="14"/>
        </w:rPr>
      </w:pPr>
      <w:r w:rsidRPr="00841A71">
        <w:rPr>
          <w:rStyle w:val="Voetnootmarkering"/>
          <w:sz w:val="14"/>
          <w:szCs w:val="14"/>
        </w:rPr>
        <w:footnoteRef/>
      </w:r>
      <w:r w:rsidRPr="00841A71">
        <w:rPr>
          <w:sz w:val="14"/>
          <w:szCs w:val="14"/>
        </w:rPr>
        <w:t xml:space="preserve"> Brief toekenningen eerste ronde (Kamerstuk 27 406, nr. 229 en </w:t>
      </w:r>
      <w:hyperlink r:id="rId11" w:history="1">
        <w:r w:rsidRPr="00841A71">
          <w:rPr>
            <w:rStyle w:val="Hyperlink"/>
            <w:sz w:val="14"/>
            <w:szCs w:val="14"/>
          </w:rPr>
          <w:t>link</w:t>
        </w:r>
      </w:hyperlink>
      <w:r w:rsidRPr="00841A71">
        <w:rPr>
          <w:sz w:val="14"/>
          <w:szCs w:val="14"/>
        </w:rPr>
        <w:t>)</w:t>
      </w:r>
    </w:p>
  </w:footnote>
  <w:footnote w:id="5">
    <w:p w14:paraId="023274DA" w14:textId="77777777" w:rsidR="00863F57" w:rsidRPr="00841A71" w:rsidRDefault="00863F57" w:rsidP="00863F57">
      <w:pPr>
        <w:pStyle w:val="Voetnoottekst"/>
        <w:spacing w:line="240" w:lineRule="auto"/>
        <w:rPr>
          <w:sz w:val="14"/>
          <w:szCs w:val="14"/>
        </w:rPr>
      </w:pPr>
      <w:r w:rsidRPr="00841A71">
        <w:rPr>
          <w:rStyle w:val="Voetnootmarkering"/>
          <w:sz w:val="14"/>
          <w:szCs w:val="14"/>
        </w:rPr>
        <w:footnoteRef/>
      </w:r>
      <w:r w:rsidRPr="00841A71">
        <w:rPr>
          <w:sz w:val="14"/>
          <w:szCs w:val="14"/>
        </w:rPr>
        <w:t xml:space="preserve"> Brief Nationale </w:t>
      </w:r>
      <w:proofErr w:type="spellStart"/>
      <w:r w:rsidRPr="00841A71">
        <w:rPr>
          <w:sz w:val="14"/>
          <w:szCs w:val="14"/>
        </w:rPr>
        <w:t>Roadmap</w:t>
      </w:r>
      <w:proofErr w:type="spellEnd"/>
      <w:r w:rsidRPr="00841A71">
        <w:rPr>
          <w:sz w:val="14"/>
          <w:szCs w:val="14"/>
        </w:rPr>
        <w:t xml:space="preserve"> 2021 (Kamerstuk 27 406, nr. 228 en </w:t>
      </w:r>
      <w:hyperlink r:id="rId12" w:history="1">
        <w:r w:rsidRPr="00841A71">
          <w:rPr>
            <w:rStyle w:val="Hyperlink"/>
            <w:sz w:val="14"/>
            <w:szCs w:val="14"/>
          </w:rPr>
          <w:t>link</w:t>
        </w:r>
      </w:hyperlink>
      <w:r w:rsidRPr="00841A71">
        <w:rPr>
          <w:sz w:val="14"/>
          <w:szCs w:val="14"/>
        </w:rPr>
        <w:t>)</w:t>
      </w:r>
    </w:p>
  </w:footnote>
  <w:footnote w:id="6">
    <w:p w14:paraId="62987FD6" w14:textId="77777777" w:rsidR="00551443" w:rsidRDefault="00551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31AC2" w14:paraId="76C561A7" w14:textId="77777777" w:rsidTr="006D2D53">
      <w:trPr>
        <w:trHeight w:hRule="exact" w:val="400"/>
      </w:trPr>
      <w:tc>
        <w:tcPr>
          <w:tcW w:w="7518" w:type="dxa"/>
        </w:tcPr>
        <w:p w14:paraId="258B944F" w14:textId="77777777" w:rsidR="00527BD4" w:rsidRPr="00275984" w:rsidRDefault="00527BD4" w:rsidP="00BF4427">
          <w:pPr>
            <w:pStyle w:val="Huisstijl-Rubricering"/>
          </w:pPr>
        </w:p>
      </w:tc>
    </w:tr>
  </w:tbl>
  <w:p w14:paraId="0D40446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1AC2" w14:paraId="31B91EF1" w14:textId="77777777" w:rsidTr="003B528D">
      <w:tc>
        <w:tcPr>
          <w:tcW w:w="2160" w:type="dxa"/>
        </w:tcPr>
        <w:p w14:paraId="758CB2ED" w14:textId="77777777" w:rsidR="002F71BB" w:rsidRPr="000407BB" w:rsidRDefault="00BF5B0B" w:rsidP="005D283A">
          <w:pPr>
            <w:pStyle w:val="Colofonkop"/>
            <w:framePr w:hSpace="0" w:wrap="auto" w:vAnchor="margin" w:hAnchor="text" w:xAlign="left" w:yAlign="inline"/>
          </w:pPr>
          <w:r>
            <w:t>Onze referentie</w:t>
          </w:r>
        </w:p>
      </w:tc>
    </w:tr>
    <w:tr w:rsidR="00A31AC2" w14:paraId="557EB47C" w14:textId="77777777" w:rsidTr="002F71BB">
      <w:trPr>
        <w:trHeight w:val="259"/>
      </w:trPr>
      <w:tc>
        <w:tcPr>
          <w:tcW w:w="2160" w:type="dxa"/>
        </w:tcPr>
        <w:p w14:paraId="25E4CC4F" w14:textId="77777777" w:rsidR="00E35CF4" w:rsidRPr="005D283A" w:rsidRDefault="00BF5B0B" w:rsidP="0049501A">
          <w:pPr>
            <w:spacing w:line="180" w:lineRule="exact"/>
            <w:rPr>
              <w:sz w:val="13"/>
              <w:szCs w:val="13"/>
            </w:rPr>
          </w:pPr>
          <w:r>
            <w:rPr>
              <w:sz w:val="13"/>
              <w:szCs w:val="13"/>
            </w:rPr>
            <w:t>54132690</w:t>
          </w:r>
        </w:p>
      </w:tc>
    </w:tr>
  </w:tbl>
  <w:p w14:paraId="78DEE55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1AC2" w14:paraId="2735F11A" w14:textId="77777777" w:rsidTr="001377D4">
      <w:trPr>
        <w:trHeight w:val="2636"/>
      </w:trPr>
      <w:tc>
        <w:tcPr>
          <w:tcW w:w="737" w:type="dxa"/>
        </w:tcPr>
        <w:p w14:paraId="12CA9AF8" w14:textId="77777777" w:rsidR="00704845" w:rsidRDefault="00704845" w:rsidP="0047126E">
          <w:pPr>
            <w:framePr w:w="6339" w:h="2750" w:hRule="exact" w:hSpace="181" w:wrap="around" w:vAnchor="page" w:hAnchor="page" w:x="5586" w:y="1"/>
            <w:spacing w:line="240" w:lineRule="auto"/>
          </w:pPr>
        </w:p>
      </w:tc>
      <w:tc>
        <w:tcPr>
          <w:tcW w:w="5156" w:type="dxa"/>
        </w:tcPr>
        <w:p w14:paraId="01A7CC6D" w14:textId="77777777" w:rsidR="00704845" w:rsidRDefault="00BF5B0B" w:rsidP="0047126E">
          <w:pPr>
            <w:framePr w:w="3873" w:h="2625" w:hRule="exact" w:wrap="around" w:vAnchor="page" w:hAnchor="page" w:x="6323" w:y="1"/>
          </w:pPr>
          <w:r>
            <w:rPr>
              <w:noProof/>
              <w:lang w:val="en-US" w:eastAsia="en-US"/>
            </w:rPr>
            <w:drawing>
              <wp:inline distT="0" distB="0" distL="0" distR="0" wp14:anchorId="7CCEA573" wp14:editId="1EAE285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D5A2B25" w14:textId="77777777" w:rsidR="00483ECA" w:rsidRDefault="00483ECA" w:rsidP="00D037A9"/>
      </w:tc>
    </w:tr>
  </w:tbl>
  <w:p w14:paraId="5B6F3C7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31AC2" w14:paraId="07D3DB5B" w14:textId="77777777" w:rsidTr="0008539E">
      <w:trPr>
        <w:trHeight w:hRule="exact" w:val="572"/>
      </w:trPr>
      <w:tc>
        <w:tcPr>
          <w:tcW w:w="7520" w:type="dxa"/>
        </w:tcPr>
        <w:p w14:paraId="556E698B" w14:textId="77777777" w:rsidR="00527BD4" w:rsidRPr="00963440" w:rsidRDefault="00BF5B0B" w:rsidP="00210BA3">
          <w:pPr>
            <w:pStyle w:val="Huisstijl-Adres"/>
            <w:spacing w:after="0"/>
          </w:pPr>
          <w:r w:rsidRPr="009E3B07">
            <w:t>&gt;Retouradres </w:t>
          </w:r>
          <w:r>
            <w:t>Postbus 16375 2500 BJ Den Haag</w:t>
          </w:r>
          <w:r w:rsidRPr="009E3B07">
            <w:t xml:space="preserve"> </w:t>
          </w:r>
        </w:p>
      </w:tc>
    </w:tr>
    <w:tr w:rsidR="00A31AC2" w14:paraId="50C43BB3" w14:textId="77777777" w:rsidTr="00E776C6">
      <w:trPr>
        <w:cantSplit/>
        <w:trHeight w:hRule="exact" w:val="238"/>
      </w:trPr>
      <w:tc>
        <w:tcPr>
          <w:tcW w:w="7520" w:type="dxa"/>
        </w:tcPr>
        <w:p w14:paraId="6592EE13" w14:textId="77777777" w:rsidR="00093ABC" w:rsidRPr="00963440" w:rsidRDefault="00093ABC" w:rsidP="00963440"/>
      </w:tc>
    </w:tr>
    <w:tr w:rsidR="00A31AC2" w14:paraId="29457665" w14:textId="77777777" w:rsidTr="00E776C6">
      <w:trPr>
        <w:cantSplit/>
        <w:trHeight w:hRule="exact" w:val="1520"/>
      </w:trPr>
      <w:tc>
        <w:tcPr>
          <w:tcW w:w="7520" w:type="dxa"/>
        </w:tcPr>
        <w:p w14:paraId="133311FB" w14:textId="77777777" w:rsidR="00A604D3" w:rsidRPr="00963440" w:rsidRDefault="00A604D3" w:rsidP="00963440"/>
      </w:tc>
    </w:tr>
    <w:tr w:rsidR="00A31AC2" w14:paraId="5092DC2C" w14:textId="77777777" w:rsidTr="00E776C6">
      <w:trPr>
        <w:trHeight w:hRule="exact" w:val="1077"/>
      </w:trPr>
      <w:tc>
        <w:tcPr>
          <w:tcW w:w="7520" w:type="dxa"/>
        </w:tcPr>
        <w:p w14:paraId="68DBBA9C" w14:textId="77777777" w:rsidR="00892BA5" w:rsidRPr="00035E67" w:rsidRDefault="00892BA5" w:rsidP="00892BA5">
          <w:pPr>
            <w:tabs>
              <w:tab w:val="left" w:pos="740"/>
            </w:tabs>
            <w:autoSpaceDE w:val="0"/>
            <w:autoSpaceDN w:val="0"/>
            <w:adjustRightInd w:val="0"/>
            <w:rPr>
              <w:rFonts w:cs="Verdana"/>
              <w:szCs w:val="18"/>
            </w:rPr>
          </w:pPr>
        </w:p>
      </w:tc>
    </w:tr>
  </w:tbl>
  <w:p w14:paraId="2D15543C" w14:textId="77777777" w:rsidR="006F273B" w:rsidRDefault="006F273B" w:rsidP="00BC4AE3">
    <w:pPr>
      <w:pStyle w:val="Koptekst"/>
    </w:pPr>
  </w:p>
  <w:p w14:paraId="264D49E1" w14:textId="77777777" w:rsidR="00153BD0" w:rsidRDefault="00153BD0" w:rsidP="00BC4AE3">
    <w:pPr>
      <w:pStyle w:val="Koptekst"/>
    </w:pPr>
  </w:p>
  <w:p w14:paraId="7E180C89" w14:textId="77777777" w:rsidR="0044605E" w:rsidRDefault="0044605E" w:rsidP="00BC4AE3">
    <w:pPr>
      <w:pStyle w:val="Koptekst"/>
    </w:pPr>
  </w:p>
  <w:p w14:paraId="7BA5CEC4" w14:textId="77777777" w:rsidR="0044605E" w:rsidRDefault="0044605E" w:rsidP="00BC4AE3">
    <w:pPr>
      <w:pStyle w:val="Koptekst"/>
    </w:pPr>
  </w:p>
  <w:p w14:paraId="22FA1DB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58D6FA">
      <w:start w:val="1"/>
      <w:numFmt w:val="bullet"/>
      <w:pStyle w:val="Lijstopsomteken"/>
      <w:lvlText w:val="•"/>
      <w:lvlJc w:val="left"/>
      <w:pPr>
        <w:tabs>
          <w:tab w:val="num" w:pos="227"/>
        </w:tabs>
        <w:ind w:left="227" w:hanging="227"/>
      </w:pPr>
      <w:rPr>
        <w:rFonts w:ascii="Verdana" w:hAnsi="Verdana" w:hint="default"/>
        <w:sz w:val="18"/>
        <w:szCs w:val="18"/>
      </w:rPr>
    </w:lvl>
    <w:lvl w:ilvl="1" w:tplc="CAAA93FA" w:tentative="1">
      <w:start w:val="1"/>
      <w:numFmt w:val="bullet"/>
      <w:lvlText w:val="o"/>
      <w:lvlJc w:val="left"/>
      <w:pPr>
        <w:tabs>
          <w:tab w:val="num" w:pos="1440"/>
        </w:tabs>
        <w:ind w:left="1440" w:hanging="360"/>
      </w:pPr>
      <w:rPr>
        <w:rFonts w:ascii="Courier New" w:hAnsi="Courier New" w:cs="Courier New" w:hint="default"/>
      </w:rPr>
    </w:lvl>
    <w:lvl w:ilvl="2" w:tplc="5FBAE1F8" w:tentative="1">
      <w:start w:val="1"/>
      <w:numFmt w:val="bullet"/>
      <w:lvlText w:val=""/>
      <w:lvlJc w:val="left"/>
      <w:pPr>
        <w:tabs>
          <w:tab w:val="num" w:pos="2160"/>
        </w:tabs>
        <w:ind w:left="2160" w:hanging="360"/>
      </w:pPr>
      <w:rPr>
        <w:rFonts w:ascii="Wingdings" w:hAnsi="Wingdings" w:hint="default"/>
      </w:rPr>
    </w:lvl>
    <w:lvl w:ilvl="3" w:tplc="A3EE8DFE" w:tentative="1">
      <w:start w:val="1"/>
      <w:numFmt w:val="bullet"/>
      <w:lvlText w:val=""/>
      <w:lvlJc w:val="left"/>
      <w:pPr>
        <w:tabs>
          <w:tab w:val="num" w:pos="2880"/>
        </w:tabs>
        <w:ind w:left="2880" w:hanging="360"/>
      </w:pPr>
      <w:rPr>
        <w:rFonts w:ascii="Symbol" w:hAnsi="Symbol" w:hint="default"/>
      </w:rPr>
    </w:lvl>
    <w:lvl w:ilvl="4" w:tplc="E3C0BEF0" w:tentative="1">
      <w:start w:val="1"/>
      <w:numFmt w:val="bullet"/>
      <w:lvlText w:val="o"/>
      <w:lvlJc w:val="left"/>
      <w:pPr>
        <w:tabs>
          <w:tab w:val="num" w:pos="3600"/>
        </w:tabs>
        <w:ind w:left="3600" w:hanging="360"/>
      </w:pPr>
      <w:rPr>
        <w:rFonts w:ascii="Courier New" w:hAnsi="Courier New" w:cs="Courier New" w:hint="default"/>
      </w:rPr>
    </w:lvl>
    <w:lvl w:ilvl="5" w:tplc="7B46C45E" w:tentative="1">
      <w:start w:val="1"/>
      <w:numFmt w:val="bullet"/>
      <w:lvlText w:val=""/>
      <w:lvlJc w:val="left"/>
      <w:pPr>
        <w:tabs>
          <w:tab w:val="num" w:pos="4320"/>
        </w:tabs>
        <w:ind w:left="4320" w:hanging="360"/>
      </w:pPr>
      <w:rPr>
        <w:rFonts w:ascii="Wingdings" w:hAnsi="Wingdings" w:hint="default"/>
      </w:rPr>
    </w:lvl>
    <w:lvl w:ilvl="6" w:tplc="E720626C" w:tentative="1">
      <w:start w:val="1"/>
      <w:numFmt w:val="bullet"/>
      <w:lvlText w:val=""/>
      <w:lvlJc w:val="left"/>
      <w:pPr>
        <w:tabs>
          <w:tab w:val="num" w:pos="5040"/>
        </w:tabs>
        <w:ind w:left="5040" w:hanging="360"/>
      </w:pPr>
      <w:rPr>
        <w:rFonts w:ascii="Symbol" w:hAnsi="Symbol" w:hint="default"/>
      </w:rPr>
    </w:lvl>
    <w:lvl w:ilvl="7" w:tplc="50903D82" w:tentative="1">
      <w:start w:val="1"/>
      <w:numFmt w:val="bullet"/>
      <w:lvlText w:val="o"/>
      <w:lvlJc w:val="left"/>
      <w:pPr>
        <w:tabs>
          <w:tab w:val="num" w:pos="5760"/>
        </w:tabs>
        <w:ind w:left="5760" w:hanging="360"/>
      </w:pPr>
      <w:rPr>
        <w:rFonts w:ascii="Courier New" w:hAnsi="Courier New" w:cs="Courier New" w:hint="default"/>
      </w:rPr>
    </w:lvl>
    <w:lvl w:ilvl="8" w:tplc="10D2CA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C5AFC2A">
      <w:start w:val="1"/>
      <w:numFmt w:val="bullet"/>
      <w:pStyle w:val="Lijstopsomteken2"/>
      <w:lvlText w:val="–"/>
      <w:lvlJc w:val="left"/>
      <w:pPr>
        <w:tabs>
          <w:tab w:val="num" w:pos="227"/>
        </w:tabs>
        <w:ind w:left="227" w:firstLine="0"/>
      </w:pPr>
      <w:rPr>
        <w:rFonts w:ascii="Verdana" w:hAnsi="Verdana" w:hint="default"/>
      </w:rPr>
    </w:lvl>
    <w:lvl w:ilvl="1" w:tplc="92A43202" w:tentative="1">
      <w:start w:val="1"/>
      <w:numFmt w:val="bullet"/>
      <w:lvlText w:val="o"/>
      <w:lvlJc w:val="left"/>
      <w:pPr>
        <w:tabs>
          <w:tab w:val="num" w:pos="1440"/>
        </w:tabs>
        <w:ind w:left="1440" w:hanging="360"/>
      </w:pPr>
      <w:rPr>
        <w:rFonts w:ascii="Courier New" w:hAnsi="Courier New" w:cs="Courier New" w:hint="default"/>
      </w:rPr>
    </w:lvl>
    <w:lvl w:ilvl="2" w:tplc="FA623A2C" w:tentative="1">
      <w:start w:val="1"/>
      <w:numFmt w:val="bullet"/>
      <w:lvlText w:val=""/>
      <w:lvlJc w:val="left"/>
      <w:pPr>
        <w:tabs>
          <w:tab w:val="num" w:pos="2160"/>
        </w:tabs>
        <w:ind w:left="2160" w:hanging="360"/>
      </w:pPr>
      <w:rPr>
        <w:rFonts w:ascii="Wingdings" w:hAnsi="Wingdings" w:hint="default"/>
      </w:rPr>
    </w:lvl>
    <w:lvl w:ilvl="3" w:tplc="2118E136" w:tentative="1">
      <w:start w:val="1"/>
      <w:numFmt w:val="bullet"/>
      <w:lvlText w:val=""/>
      <w:lvlJc w:val="left"/>
      <w:pPr>
        <w:tabs>
          <w:tab w:val="num" w:pos="2880"/>
        </w:tabs>
        <w:ind w:left="2880" w:hanging="360"/>
      </w:pPr>
      <w:rPr>
        <w:rFonts w:ascii="Symbol" w:hAnsi="Symbol" w:hint="default"/>
      </w:rPr>
    </w:lvl>
    <w:lvl w:ilvl="4" w:tplc="9A8687C8" w:tentative="1">
      <w:start w:val="1"/>
      <w:numFmt w:val="bullet"/>
      <w:lvlText w:val="o"/>
      <w:lvlJc w:val="left"/>
      <w:pPr>
        <w:tabs>
          <w:tab w:val="num" w:pos="3600"/>
        </w:tabs>
        <w:ind w:left="3600" w:hanging="360"/>
      </w:pPr>
      <w:rPr>
        <w:rFonts w:ascii="Courier New" w:hAnsi="Courier New" w:cs="Courier New" w:hint="default"/>
      </w:rPr>
    </w:lvl>
    <w:lvl w:ilvl="5" w:tplc="88C8F8F4" w:tentative="1">
      <w:start w:val="1"/>
      <w:numFmt w:val="bullet"/>
      <w:lvlText w:val=""/>
      <w:lvlJc w:val="left"/>
      <w:pPr>
        <w:tabs>
          <w:tab w:val="num" w:pos="4320"/>
        </w:tabs>
        <w:ind w:left="4320" w:hanging="360"/>
      </w:pPr>
      <w:rPr>
        <w:rFonts w:ascii="Wingdings" w:hAnsi="Wingdings" w:hint="default"/>
      </w:rPr>
    </w:lvl>
    <w:lvl w:ilvl="6" w:tplc="586ED758" w:tentative="1">
      <w:start w:val="1"/>
      <w:numFmt w:val="bullet"/>
      <w:lvlText w:val=""/>
      <w:lvlJc w:val="left"/>
      <w:pPr>
        <w:tabs>
          <w:tab w:val="num" w:pos="5040"/>
        </w:tabs>
        <w:ind w:left="5040" w:hanging="360"/>
      </w:pPr>
      <w:rPr>
        <w:rFonts w:ascii="Symbol" w:hAnsi="Symbol" w:hint="default"/>
      </w:rPr>
    </w:lvl>
    <w:lvl w:ilvl="7" w:tplc="C3820E88" w:tentative="1">
      <w:start w:val="1"/>
      <w:numFmt w:val="bullet"/>
      <w:lvlText w:val="o"/>
      <w:lvlJc w:val="left"/>
      <w:pPr>
        <w:tabs>
          <w:tab w:val="num" w:pos="5760"/>
        </w:tabs>
        <w:ind w:left="5760" w:hanging="360"/>
      </w:pPr>
      <w:rPr>
        <w:rFonts w:ascii="Courier New" w:hAnsi="Courier New" w:cs="Courier New" w:hint="default"/>
      </w:rPr>
    </w:lvl>
    <w:lvl w:ilvl="8" w:tplc="EF1ED3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871192"/>
    <w:multiLevelType w:val="hybridMultilevel"/>
    <w:tmpl w:val="A350AB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EC417B2"/>
    <w:multiLevelType w:val="hybridMultilevel"/>
    <w:tmpl w:val="66CAF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8474943">
    <w:abstractNumId w:val="10"/>
  </w:num>
  <w:num w:numId="2" w16cid:durableId="598148631">
    <w:abstractNumId w:val="7"/>
  </w:num>
  <w:num w:numId="3" w16cid:durableId="619845082">
    <w:abstractNumId w:val="6"/>
  </w:num>
  <w:num w:numId="4" w16cid:durableId="353113272">
    <w:abstractNumId w:val="5"/>
  </w:num>
  <w:num w:numId="5" w16cid:durableId="556358961">
    <w:abstractNumId w:val="4"/>
  </w:num>
  <w:num w:numId="6" w16cid:durableId="296569503">
    <w:abstractNumId w:val="8"/>
  </w:num>
  <w:num w:numId="7" w16cid:durableId="368143247">
    <w:abstractNumId w:val="3"/>
  </w:num>
  <w:num w:numId="8" w16cid:durableId="528880135">
    <w:abstractNumId w:val="2"/>
  </w:num>
  <w:num w:numId="9" w16cid:durableId="401875544">
    <w:abstractNumId w:val="1"/>
  </w:num>
  <w:num w:numId="10" w16cid:durableId="2103140449">
    <w:abstractNumId w:val="0"/>
  </w:num>
  <w:num w:numId="11" w16cid:durableId="486287110">
    <w:abstractNumId w:val="9"/>
  </w:num>
  <w:num w:numId="12" w16cid:durableId="2098554701">
    <w:abstractNumId w:val="11"/>
  </w:num>
  <w:num w:numId="13" w16cid:durableId="1073284059">
    <w:abstractNumId w:val="13"/>
  </w:num>
  <w:num w:numId="14" w16cid:durableId="296886072">
    <w:abstractNumId w:val="12"/>
  </w:num>
  <w:num w:numId="15" w16cid:durableId="1499806492">
    <w:abstractNumId w:val="15"/>
  </w:num>
  <w:num w:numId="16" w16cid:durableId="187715648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0D64"/>
    <w:rsid w:val="00013862"/>
    <w:rsid w:val="00014599"/>
    <w:rsid w:val="00016012"/>
    <w:rsid w:val="00016506"/>
    <w:rsid w:val="00020189"/>
    <w:rsid w:val="00020EE4"/>
    <w:rsid w:val="00020FCB"/>
    <w:rsid w:val="0002156C"/>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0AF5"/>
    <w:rsid w:val="00071F28"/>
    <w:rsid w:val="00074079"/>
    <w:rsid w:val="000765B6"/>
    <w:rsid w:val="0007669B"/>
    <w:rsid w:val="00080545"/>
    <w:rsid w:val="0008289C"/>
    <w:rsid w:val="0008539E"/>
    <w:rsid w:val="00087553"/>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514D"/>
    <w:rsid w:val="000D5753"/>
    <w:rsid w:val="000D6399"/>
    <w:rsid w:val="000E5886"/>
    <w:rsid w:val="000E6621"/>
    <w:rsid w:val="000E7895"/>
    <w:rsid w:val="000F161D"/>
    <w:rsid w:val="000F1B4E"/>
    <w:rsid w:val="000F1FFF"/>
    <w:rsid w:val="000F521E"/>
    <w:rsid w:val="00100203"/>
    <w:rsid w:val="00104B4D"/>
    <w:rsid w:val="00105677"/>
    <w:rsid w:val="00115D6A"/>
    <w:rsid w:val="001177B4"/>
    <w:rsid w:val="00122CF9"/>
    <w:rsid w:val="00123704"/>
    <w:rsid w:val="001270C7"/>
    <w:rsid w:val="00132540"/>
    <w:rsid w:val="0013481A"/>
    <w:rsid w:val="001377D4"/>
    <w:rsid w:val="00141B0A"/>
    <w:rsid w:val="00142E41"/>
    <w:rsid w:val="0014786A"/>
    <w:rsid w:val="001516A4"/>
    <w:rsid w:val="00151E5F"/>
    <w:rsid w:val="00153BD0"/>
    <w:rsid w:val="001569AB"/>
    <w:rsid w:val="00164D63"/>
    <w:rsid w:val="001667B8"/>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1C26"/>
    <w:rsid w:val="001A2BEA"/>
    <w:rsid w:val="001A325F"/>
    <w:rsid w:val="001A6D93"/>
    <w:rsid w:val="001B2BBA"/>
    <w:rsid w:val="001B35FA"/>
    <w:rsid w:val="001C006F"/>
    <w:rsid w:val="001C2C36"/>
    <w:rsid w:val="001C32EC"/>
    <w:rsid w:val="001C38BD"/>
    <w:rsid w:val="001C4D5A"/>
    <w:rsid w:val="001E0256"/>
    <w:rsid w:val="001E10B0"/>
    <w:rsid w:val="001E34C6"/>
    <w:rsid w:val="001E5581"/>
    <w:rsid w:val="001E5DD7"/>
    <w:rsid w:val="001F3C70"/>
    <w:rsid w:val="00200D88"/>
    <w:rsid w:val="00201C09"/>
    <w:rsid w:val="00201F68"/>
    <w:rsid w:val="00210BA3"/>
    <w:rsid w:val="00212F2A"/>
    <w:rsid w:val="00214F2B"/>
    <w:rsid w:val="002150AD"/>
    <w:rsid w:val="00215356"/>
    <w:rsid w:val="00215964"/>
    <w:rsid w:val="00215D8B"/>
    <w:rsid w:val="00217880"/>
    <w:rsid w:val="00222D66"/>
    <w:rsid w:val="0022441A"/>
    <w:rsid w:val="00224A8A"/>
    <w:rsid w:val="002309A8"/>
    <w:rsid w:val="002351BE"/>
    <w:rsid w:val="00236CFE"/>
    <w:rsid w:val="002428E3"/>
    <w:rsid w:val="0024430A"/>
    <w:rsid w:val="00245FF7"/>
    <w:rsid w:val="00251F4E"/>
    <w:rsid w:val="00253B65"/>
    <w:rsid w:val="00260455"/>
    <w:rsid w:val="0026060B"/>
    <w:rsid w:val="00260BAF"/>
    <w:rsid w:val="002610A6"/>
    <w:rsid w:val="002612F6"/>
    <w:rsid w:val="00263FD6"/>
    <w:rsid w:val="002650F7"/>
    <w:rsid w:val="0026686B"/>
    <w:rsid w:val="00273F3B"/>
    <w:rsid w:val="00274DB7"/>
    <w:rsid w:val="00275984"/>
    <w:rsid w:val="00276199"/>
    <w:rsid w:val="002768F3"/>
    <w:rsid w:val="00276DA4"/>
    <w:rsid w:val="00280F74"/>
    <w:rsid w:val="00282156"/>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24AF"/>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73CC"/>
    <w:rsid w:val="00371048"/>
    <w:rsid w:val="0037396C"/>
    <w:rsid w:val="0037421D"/>
    <w:rsid w:val="00374412"/>
    <w:rsid w:val="00376093"/>
    <w:rsid w:val="00376654"/>
    <w:rsid w:val="0037715E"/>
    <w:rsid w:val="00383DA1"/>
    <w:rsid w:val="00385F30"/>
    <w:rsid w:val="00387600"/>
    <w:rsid w:val="00393696"/>
    <w:rsid w:val="00393963"/>
    <w:rsid w:val="00395575"/>
    <w:rsid w:val="00395672"/>
    <w:rsid w:val="00395683"/>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5214"/>
    <w:rsid w:val="003F07C6"/>
    <w:rsid w:val="003F1F6B"/>
    <w:rsid w:val="003F2D7C"/>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120"/>
    <w:rsid w:val="00463A63"/>
    <w:rsid w:val="00465B52"/>
    <w:rsid w:val="0046708E"/>
    <w:rsid w:val="00467D61"/>
    <w:rsid w:val="0047126E"/>
    <w:rsid w:val="00471C81"/>
    <w:rsid w:val="004722BE"/>
    <w:rsid w:val="00472A65"/>
    <w:rsid w:val="00474463"/>
    <w:rsid w:val="00474B75"/>
    <w:rsid w:val="00481A70"/>
    <w:rsid w:val="00483ECA"/>
    <w:rsid w:val="00483F0B"/>
    <w:rsid w:val="0049143C"/>
    <w:rsid w:val="0049501A"/>
    <w:rsid w:val="00496319"/>
    <w:rsid w:val="0049657E"/>
    <w:rsid w:val="00497279"/>
    <w:rsid w:val="004A010B"/>
    <w:rsid w:val="004A0AFF"/>
    <w:rsid w:val="004A3186"/>
    <w:rsid w:val="004A3254"/>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3C21"/>
    <w:rsid w:val="004F42FF"/>
    <w:rsid w:val="004F44C2"/>
    <w:rsid w:val="00503CCA"/>
    <w:rsid w:val="00505262"/>
    <w:rsid w:val="005107B1"/>
    <w:rsid w:val="00516022"/>
    <w:rsid w:val="00521CEE"/>
    <w:rsid w:val="00527BD4"/>
    <w:rsid w:val="00533061"/>
    <w:rsid w:val="00533FA1"/>
    <w:rsid w:val="00534C77"/>
    <w:rsid w:val="0053657A"/>
    <w:rsid w:val="005401A9"/>
    <w:rsid w:val="005403C8"/>
    <w:rsid w:val="00541AD9"/>
    <w:rsid w:val="005429DC"/>
    <w:rsid w:val="00547C5B"/>
    <w:rsid w:val="00551443"/>
    <w:rsid w:val="005565F9"/>
    <w:rsid w:val="005639D2"/>
    <w:rsid w:val="00565739"/>
    <w:rsid w:val="00566B51"/>
    <w:rsid w:val="00572BE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4CB3"/>
    <w:rsid w:val="005D625B"/>
    <w:rsid w:val="005E2620"/>
    <w:rsid w:val="005E3322"/>
    <w:rsid w:val="005E436C"/>
    <w:rsid w:val="005E64E2"/>
    <w:rsid w:val="005F62D3"/>
    <w:rsid w:val="005F6D11"/>
    <w:rsid w:val="00600CF0"/>
    <w:rsid w:val="006048F4"/>
    <w:rsid w:val="0060660A"/>
    <w:rsid w:val="00610A24"/>
    <w:rsid w:val="00613B1D"/>
    <w:rsid w:val="00615F9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5148"/>
    <w:rsid w:val="00657B1B"/>
    <w:rsid w:val="006610E9"/>
    <w:rsid w:val="00661591"/>
    <w:rsid w:val="00662A78"/>
    <w:rsid w:val="00663187"/>
    <w:rsid w:val="00663E1F"/>
    <w:rsid w:val="0066632F"/>
    <w:rsid w:val="00674A89"/>
    <w:rsid w:val="00674F3D"/>
    <w:rsid w:val="00682E02"/>
    <w:rsid w:val="00685545"/>
    <w:rsid w:val="006864B3"/>
    <w:rsid w:val="00686AED"/>
    <w:rsid w:val="00687511"/>
    <w:rsid w:val="00692BA9"/>
    <w:rsid w:val="00692C30"/>
    <w:rsid w:val="00692D64"/>
    <w:rsid w:val="006A10F8"/>
    <w:rsid w:val="006A2100"/>
    <w:rsid w:val="006B058E"/>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73BB"/>
    <w:rsid w:val="006D1016"/>
    <w:rsid w:val="006D17F2"/>
    <w:rsid w:val="006D2D53"/>
    <w:rsid w:val="006E3546"/>
    <w:rsid w:val="006E3FA9"/>
    <w:rsid w:val="006E7D82"/>
    <w:rsid w:val="006F038F"/>
    <w:rsid w:val="006F0F93"/>
    <w:rsid w:val="006F273B"/>
    <w:rsid w:val="006F31F2"/>
    <w:rsid w:val="00704845"/>
    <w:rsid w:val="00704C41"/>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2659"/>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C7739"/>
    <w:rsid w:val="007E14E4"/>
    <w:rsid w:val="007E2B20"/>
    <w:rsid w:val="007F5331"/>
    <w:rsid w:val="00800CCA"/>
    <w:rsid w:val="008011BB"/>
    <w:rsid w:val="008020F2"/>
    <w:rsid w:val="00806120"/>
    <w:rsid w:val="00810C93"/>
    <w:rsid w:val="00812028"/>
    <w:rsid w:val="00812DD8"/>
    <w:rsid w:val="00812EA0"/>
    <w:rsid w:val="00813082"/>
    <w:rsid w:val="00813527"/>
    <w:rsid w:val="00814120"/>
    <w:rsid w:val="00814D03"/>
    <w:rsid w:val="00815C7E"/>
    <w:rsid w:val="00820DDA"/>
    <w:rsid w:val="00821114"/>
    <w:rsid w:val="008211EF"/>
    <w:rsid w:val="00821FC1"/>
    <w:rsid w:val="008267CC"/>
    <w:rsid w:val="00831081"/>
    <w:rsid w:val="0083178B"/>
    <w:rsid w:val="00833695"/>
    <w:rsid w:val="008336B7"/>
    <w:rsid w:val="00833A8E"/>
    <w:rsid w:val="00841A71"/>
    <w:rsid w:val="0084255A"/>
    <w:rsid w:val="00842CD8"/>
    <w:rsid w:val="008431FA"/>
    <w:rsid w:val="008547BA"/>
    <w:rsid w:val="008553C7"/>
    <w:rsid w:val="00857FEB"/>
    <w:rsid w:val="008601AF"/>
    <w:rsid w:val="00863F57"/>
    <w:rsid w:val="00872271"/>
    <w:rsid w:val="008731F6"/>
    <w:rsid w:val="0087478B"/>
    <w:rsid w:val="00874982"/>
    <w:rsid w:val="008762B6"/>
    <w:rsid w:val="00883137"/>
    <w:rsid w:val="008920EA"/>
    <w:rsid w:val="00892BA5"/>
    <w:rsid w:val="008A08AC"/>
    <w:rsid w:val="008A1F5D"/>
    <w:rsid w:val="008A28F5"/>
    <w:rsid w:val="008A2D4B"/>
    <w:rsid w:val="008B0E6F"/>
    <w:rsid w:val="008B1198"/>
    <w:rsid w:val="008B2349"/>
    <w:rsid w:val="008B3471"/>
    <w:rsid w:val="008B3929"/>
    <w:rsid w:val="008B3BAB"/>
    <w:rsid w:val="008B4125"/>
    <w:rsid w:val="008B4CB3"/>
    <w:rsid w:val="008B567B"/>
    <w:rsid w:val="008B7B24"/>
    <w:rsid w:val="008C1F7B"/>
    <w:rsid w:val="008C356D"/>
    <w:rsid w:val="008D1583"/>
    <w:rsid w:val="008D73DC"/>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F58"/>
    <w:rsid w:val="00924639"/>
    <w:rsid w:val="0092611E"/>
    <w:rsid w:val="00926F1F"/>
    <w:rsid w:val="00926F4B"/>
    <w:rsid w:val="00930B13"/>
    <w:rsid w:val="009311C8"/>
    <w:rsid w:val="0093199F"/>
    <w:rsid w:val="00933376"/>
    <w:rsid w:val="00933A2F"/>
    <w:rsid w:val="0094000D"/>
    <w:rsid w:val="00940206"/>
    <w:rsid w:val="00941B16"/>
    <w:rsid w:val="009440E9"/>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7C9"/>
    <w:rsid w:val="009B5846"/>
    <w:rsid w:val="009B601B"/>
    <w:rsid w:val="009C1F82"/>
    <w:rsid w:val="009C3F20"/>
    <w:rsid w:val="009C64FB"/>
    <w:rsid w:val="009C7CA1"/>
    <w:rsid w:val="009D043D"/>
    <w:rsid w:val="009D3BCF"/>
    <w:rsid w:val="009D716F"/>
    <w:rsid w:val="009E3B07"/>
    <w:rsid w:val="009E4190"/>
    <w:rsid w:val="009F3259"/>
    <w:rsid w:val="009F541F"/>
    <w:rsid w:val="00A056DE"/>
    <w:rsid w:val="00A0678A"/>
    <w:rsid w:val="00A10625"/>
    <w:rsid w:val="00A1289E"/>
    <w:rsid w:val="00A128AD"/>
    <w:rsid w:val="00A20730"/>
    <w:rsid w:val="00A21E76"/>
    <w:rsid w:val="00A23BC8"/>
    <w:rsid w:val="00A2531F"/>
    <w:rsid w:val="00A30E68"/>
    <w:rsid w:val="00A31933"/>
    <w:rsid w:val="00A31AC2"/>
    <w:rsid w:val="00A32073"/>
    <w:rsid w:val="00A34AA0"/>
    <w:rsid w:val="00A359FE"/>
    <w:rsid w:val="00A37E61"/>
    <w:rsid w:val="00A41FE2"/>
    <w:rsid w:val="00A421A1"/>
    <w:rsid w:val="00A46FEF"/>
    <w:rsid w:val="00A47948"/>
    <w:rsid w:val="00A50CF6"/>
    <w:rsid w:val="00A51C81"/>
    <w:rsid w:val="00A56850"/>
    <w:rsid w:val="00A56946"/>
    <w:rsid w:val="00A604D3"/>
    <w:rsid w:val="00A60B58"/>
    <w:rsid w:val="00A6170E"/>
    <w:rsid w:val="00A63B8C"/>
    <w:rsid w:val="00A6582C"/>
    <w:rsid w:val="00A67AC7"/>
    <w:rsid w:val="00A715F8"/>
    <w:rsid w:val="00A741BA"/>
    <w:rsid w:val="00A773CC"/>
    <w:rsid w:val="00A77F6F"/>
    <w:rsid w:val="00A831FD"/>
    <w:rsid w:val="00A83352"/>
    <w:rsid w:val="00A850A2"/>
    <w:rsid w:val="00A91FA3"/>
    <w:rsid w:val="00A927D3"/>
    <w:rsid w:val="00A9429A"/>
    <w:rsid w:val="00AA70B0"/>
    <w:rsid w:val="00AA73AA"/>
    <w:rsid w:val="00AA7FC9"/>
    <w:rsid w:val="00AB237D"/>
    <w:rsid w:val="00AB50E6"/>
    <w:rsid w:val="00AB5933"/>
    <w:rsid w:val="00AD34B3"/>
    <w:rsid w:val="00AD5B44"/>
    <w:rsid w:val="00AD7608"/>
    <w:rsid w:val="00AE013D"/>
    <w:rsid w:val="00AE11B7"/>
    <w:rsid w:val="00AE18BA"/>
    <w:rsid w:val="00AE663B"/>
    <w:rsid w:val="00AE7130"/>
    <w:rsid w:val="00AE7F68"/>
    <w:rsid w:val="00AF2321"/>
    <w:rsid w:val="00AF52F6"/>
    <w:rsid w:val="00AF7237"/>
    <w:rsid w:val="00B0043A"/>
    <w:rsid w:val="00B00D75"/>
    <w:rsid w:val="00B0377D"/>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D0B"/>
    <w:rsid w:val="00B531DD"/>
    <w:rsid w:val="00B55014"/>
    <w:rsid w:val="00B572DA"/>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4901"/>
    <w:rsid w:val="00BB61B0"/>
    <w:rsid w:val="00BC0D9E"/>
    <w:rsid w:val="00BC3B53"/>
    <w:rsid w:val="00BC3B96"/>
    <w:rsid w:val="00BC4AE3"/>
    <w:rsid w:val="00BC5B28"/>
    <w:rsid w:val="00BC7264"/>
    <w:rsid w:val="00BD0B91"/>
    <w:rsid w:val="00BE17D4"/>
    <w:rsid w:val="00BE2863"/>
    <w:rsid w:val="00BE3F88"/>
    <w:rsid w:val="00BE4756"/>
    <w:rsid w:val="00BE5ED9"/>
    <w:rsid w:val="00BE7B41"/>
    <w:rsid w:val="00BF4427"/>
    <w:rsid w:val="00BF46B6"/>
    <w:rsid w:val="00BF5675"/>
    <w:rsid w:val="00BF5B0B"/>
    <w:rsid w:val="00C049D8"/>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1583"/>
    <w:rsid w:val="00C5258E"/>
    <w:rsid w:val="00C5333A"/>
    <w:rsid w:val="00C53BD7"/>
    <w:rsid w:val="00C55923"/>
    <w:rsid w:val="00C619A7"/>
    <w:rsid w:val="00C64E34"/>
    <w:rsid w:val="00C6545E"/>
    <w:rsid w:val="00C7097A"/>
    <w:rsid w:val="00C736E8"/>
    <w:rsid w:val="00C73D5F"/>
    <w:rsid w:val="00C76638"/>
    <w:rsid w:val="00C90E7D"/>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274"/>
    <w:rsid w:val="00D037A9"/>
    <w:rsid w:val="00D0609E"/>
    <w:rsid w:val="00D078E1"/>
    <w:rsid w:val="00D100E9"/>
    <w:rsid w:val="00D17084"/>
    <w:rsid w:val="00D1791D"/>
    <w:rsid w:val="00D21E4B"/>
    <w:rsid w:val="00D22588"/>
    <w:rsid w:val="00D22689"/>
    <w:rsid w:val="00D23522"/>
    <w:rsid w:val="00D263A6"/>
    <w:rsid w:val="00D264D6"/>
    <w:rsid w:val="00D33144"/>
    <w:rsid w:val="00D33BF0"/>
    <w:rsid w:val="00D33F30"/>
    <w:rsid w:val="00D34892"/>
    <w:rsid w:val="00D36088"/>
    <w:rsid w:val="00D36447"/>
    <w:rsid w:val="00D41043"/>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74"/>
    <w:rsid w:val="00DA1BA1"/>
    <w:rsid w:val="00DA241E"/>
    <w:rsid w:val="00DA51B5"/>
    <w:rsid w:val="00DA5422"/>
    <w:rsid w:val="00DB36FE"/>
    <w:rsid w:val="00DB38E3"/>
    <w:rsid w:val="00DB533A"/>
    <w:rsid w:val="00DB6307"/>
    <w:rsid w:val="00DC18F3"/>
    <w:rsid w:val="00DC2443"/>
    <w:rsid w:val="00DC33CE"/>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420D"/>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2329"/>
    <w:rsid w:val="00EE4A1F"/>
    <w:rsid w:val="00EE4C2D"/>
    <w:rsid w:val="00EF0CCB"/>
    <w:rsid w:val="00EF1B5A"/>
    <w:rsid w:val="00EF24FB"/>
    <w:rsid w:val="00EF2CCA"/>
    <w:rsid w:val="00EF4D48"/>
    <w:rsid w:val="00EF60DC"/>
    <w:rsid w:val="00F00CCE"/>
    <w:rsid w:val="00F00F54"/>
    <w:rsid w:val="00F01557"/>
    <w:rsid w:val="00F029C0"/>
    <w:rsid w:val="00F03963"/>
    <w:rsid w:val="00F05507"/>
    <w:rsid w:val="00F0733A"/>
    <w:rsid w:val="00F11068"/>
    <w:rsid w:val="00F115FD"/>
    <w:rsid w:val="00F1256D"/>
    <w:rsid w:val="00F13A4E"/>
    <w:rsid w:val="00F13B41"/>
    <w:rsid w:val="00F1454F"/>
    <w:rsid w:val="00F172BB"/>
    <w:rsid w:val="00F17B10"/>
    <w:rsid w:val="00F17BFE"/>
    <w:rsid w:val="00F20147"/>
    <w:rsid w:val="00F21BEF"/>
    <w:rsid w:val="00F2315B"/>
    <w:rsid w:val="00F31111"/>
    <w:rsid w:val="00F40F11"/>
    <w:rsid w:val="00F41A6F"/>
    <w:rsid w:val="00F4458A"/>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0E36"/>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3601"/>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56799"/>
  <w15:docId w15:val="{B0462574-C6A6-4576-8080-7C79334A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6C73BB"/>
    <w:rPr>
      <w:rFonts w:ascii="Verdana" w:hAnsi="Verdana"/>
      <w:sz w:val="13"/>
      <w:lang w:val="nl-NL" w:eastAsia="nl-NL"/>
    </w:rPr>
  </w:style>
  <w:style w:type="character" w:styleId="Voetnootmarkering">
    <w:name w:val="footnote reference"/>
    <w:basedOn w:val="Standaardalinea-lettertype"/>
    <w:unhideWhenUsed/>
    <w:rsid w:val="006C73BB"/>
    <w:rPr>
      <w:vertAlign w:val="superscript"/>
    </w:rPr>
  </w:style>
  <w:style w:type="character" w:styleId="Verwijzingopmerking">
    <w:name w:val="annotation reference"/>
    <w:basedOn w:val="Standaardalinea-lettertype"/>
    <w:rsid w:val="006C73BB"/>
    <w:rPr>
      <w:sz w:val="16"/>
      <w:szCs w:val="16"/>
    </w:rPr>
  </w:style>
  <w:style w:type="paragraph" w:styleId="Tekstopmerking">
    <w:name w:val="annotation text"/>
    <w:basedOn w:val="Standaard"/>
    <w:link w:val="TekstopmerkingChar"/>
    <w:rsid w:val="006C73BB"/>
    <w:pPr>
      <w:spacing w:line="240" w:lineRule="auto"/>
    </w:pPr>
    <w:rPr>
      <w:sz w:val="20"/>
      <w:szCs w:val="20"/>
    </w:rPr>
  </w:style>
  <w:style w:type="character" w:customStyle="1" w:styleId="TekstopmerkingChar">
    <w:name w:val="Tekst opmerking Char"/>
    <w:basedOn w:val="Standaardalinea-lettertype"/>
    <w:link w:val="Tekstopmerking"/>
    <w:rsid w:val="006C73BB"/>
    <w:rPr>
      <w:rFonts w:ascii="Verdana" w:hAnsi="Verdana"/>
      <w:lang w:val="nl-NL" w:eastAsia="nl-NL"/>
    </w:rPr>
  </w:style>
  <w:style w:type="paragraph" w:styleId="Onderwerpvanopmerking">
    <w:name w:val="annotation subject"/>
    <w:basedOn w:val="Tekstopmerking"/>
    <w:next w:val="Tekstopmerking"/>
    <w:link w:val="OnderwerpvanopmerkingChar"/>
    <w:rsid w:val="006C73BB"/>
    <w:rPr>
      <w:b/>
      <w:bCs/>
    </w:rPr>
  </w:style>
  <w:style w:type="character" w:customStyle="1" w:styleId="OnderwerpvanopmerkingChar">
    <w:name w:val="Onderwerp van opmerking Char"/>
    <w:basedOn w:val="TekstopmerkingChar"/>
    <w:link w:val="Onderwerpvanopmerking"/>
    <w:rsid w:val="006C73BB"/>
    <w:rPr>
      <w:rFonts w:ascii="Verdana" w:hAnsi="Verdana"/>
      <w:b/>
      <w:bCs/>
      <w:lang w:val="nl-NL" w:eastAsia="nl-NL"/>
    </w:rPr>
  </w:style>
  <w:style w:type="character" w:styleId="Onopgelostemelding">
    <w:name w:val="Unresolved Mention"/>
    <w:basedOn w:val="Standaardalinea-lettertype"/>
    <w:uiPriority w:val="99"/>
    <w:semiHidden/>
    <w:unhideWhenUsed/>
    <w:rsid w:val="006C73BB"/>
    <w:rPr>
      <w:color w:val="605E5C"/>
      <w:shd w:val="clear" w:color="auto" w:fill="E1DFDD"/>
    </w:rPr>
  </w:style>
  <w:style w:type="paragraph" w:styleId="Revisie">
    <w:name w:val="Revision"/>
    <w:hidden/>
    <w:uiPriority w:val="99"/>
    <w:semiHidden/>
    <w:rsid w:val="00E3420D"/>
    <w:rPr>
      <w:rFonts w:ascii="Verdana" w:hAnsi="Verdana"/>
      <w:sz w:val="18"/>
      <w:szCs w:val="24"/>
      <w:lang w:val="nl-NL" w:eastAsia="nl-NL"/>
    </w:rPr>
  </w:style>
  <w:style w:type="paragraph" w:styleId="Lijstalinea">
    <w:name w:val="List Paragraph"/>
    <w:basedOn w:val="Standaard"/>
    <w:uiPriority w:val="34"/>
    <w:qFormat/>
    <w:rsid w:val="00923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document/download/10017eb1-4722-4333-add2-e0ed18105a34_en" TargetMode="External"/><Relationship Id="rId3" Type="http://schemas.openxmlformats.org/officeDocument/2006/relationships/hyperlink" Target="https://commission.europa.eu/topics/eu-competitiveness/draghi-report_en" TargetMode="External"/><Relationship Id="rId7" Type="http://schemas.openxmlformats.org/officeDocument/2006/relationships/hyperlink" Target="https://eosc.eu/wp-content/uploads/2023/11/Tenerife-Declaration.pdf" TargetMode="External"/><Relationship Id="rId12" Type="http://schemas.openxmlformats.org/officeDocument/2006/relationships/hyperlink" Target="https://zoek.officielebekendmakingen.nl/kst-27406-228.html" TargetMode="External"/><Relationship Id="rId2" Type="http://schemas.openxmlformats.org/officeDocument/2006/relationships/hyperlink" Target="https://single-market-economy.ec.europa.eu/news/enrico-lettas-report-future-single-market-2024-04-10_en" TargetMode="External"/><Relationship Id="rId1" Type="http://schemas.openxmlformats.org/officeDocument/2006/relationships/hyperlink" Target="https://zoek.officielebekendmakingen.nl/kst-27406-224.html" TargetMode="External"/><Relationship Id="rId6" Type="http://schemas.openxmlformats.org/officeDocument/2006/relationships/hyperlink" Target="https://uploads-ssl.webflow.com/61bc58272635ca4c24589026/63526d60b917f621b09c9add_BRNO%20Declaration%20on%20Research%20Infrastructures.pdf" TargetMode="External"/><Relationship Id="rId11" Type="http://schemas.openxmlformats.org/officeDocument/2006/relationships/hyperlink" Target="https://zoek.officielebekendmakingen.nl/kst-27406-229.html" TargetMode="External"/><Relationship Id="rId5" Type="http://schemas.openxmlformats.org/officeDocument/2006/relationships/hyperlink" Target="https://commission.europa.eu/document/download/5bb2881f-9e29-42f2-8b77-8739b19d047c_en?filename=2024_Niinisto-report_Book_VF.pdf" TargetMode="External"/><Relationship Id="rId10" Type="http://schemas.openxmlformats.org/officeDocument/2006/relationships/hyperlink" Target="https://www.rijksoverheid.nl/documenten/kamerstukken/2025/07/11/kamerbrief-3-rd-actieplan" TargetMode="External"/><Relationship Id="rId4" Type="http://schemas.openxmlformats.org/officeDocument/2006/relationships/hyperlink" Target="https://op.europa.eu/en/publication-detail/-/publication/2f9fc221-86bb-11ef-a67d-01aa75ed71a1/language-en" TargetMode="External"/><Relationship Id="rId9" Type="http://schemas.openxmlformats.org/officeDocument/2006/relationships/hyperlink" Target="https://research-and-innovation.ec.europa.eu/strategy/strategy-research-and-innovation/our-digital-future/european-strategy-research-and-technology-infrastructures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1115</ap:Words>
  <ap:Characters>7498</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2025-11-03T09:38:00.0000000Z</dcterms:created>
  <dcterms:modified xsi:type="dcterms:W3CDTF">2025-11-03T10:38:00.0000000Z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O207MOU</vt:lpwstr>
  </property>
  <property fmtid="{D5CDD505-2E9C-101B-9397-08002B2CF9AE}" pid="3" name="Author">
    <vt:lpwstr>O207MOU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Uitslag tweede financieringsronde Nationale Roadmap Grootschalige Wetenschappelijke Infrastructuur </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O207MOU</vt:lpwstr>
  </property>
</Properties>
</file>