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285A" w:rsidR="00CE170C" w:rsidP="0032285A" w:rsidRDefault="001305A5" w14:paraId="27203C5D" w14:textId="77777777">
      <w:pPr>
        <w:pStyle w:val="StandaardAanhef"/>
      </w:pPr>
      <w:r>
        <w:t>Geachte voorzitter,</w:t>
      </w:r>
    </w:p>
    <w:p w:rsidRPr="00CE170C" w:rsidR="00CE170C" w:rsidRDefault="001D4B4C" w14:paraId="1AB88CEF" w14:textId="77777777">
      <w:r>
        <w:t>D</w:t>
      </w:r>
      <w:r w:rsidRPr="00CE170C" w:rsidR="00CE170C">
        <w:t xml:space="preserve">e verordening van de Herstel- en Veerkracht Faciliteit (HVF) </w:t>
      </w:r>
      <w:r>
        <w:t xml:space="preserve">verplicht </w:t>
      </w:r>
      <w:r w:rsidRPr="00CE170C" w:rsidR="00CE170C">
        <w:t xml:space="preserve">alle lidstaten tweemaal per jaar aan de Europese Commissie </w:t>
      </w:r>
      <w:r>
        <w:t xml:space="preserve">te rapporteren </w:t>
      </w:r>
      <w:r w:rsidRPr="00CE170C" w:rsidR="00CE170C">
        <w:t>over de voortgang van de implementatie van de herstel- en veerkrachtplannen.</w:t>
      </w:r>
      <w:r w:rsidR="001E4EEE">
        <w:rPr>
          <w:rStyle w:val="Voetnootmarkering"/>
        </w:rPr>
        <w:footnoteReference w:id="1"/>
      </w:r>
      <w:r w:rsidRPr="00CE170C" w:rsidR="00CE170C">
        <w:t xml:space="preserve"> </w:t>
      </w:r>
      <w:r>
        <w:t>Via d</w:t>
      </w:r>
      <w:r w:rsidRPr="00CE170C" w:rsidR="00CE170C">
        <w:t xml:space="preserve">eze brief informeert het kabinet </w:t>
      </w:r>
      <w:r>
        <w:t xml:space="preserve">uw Kamer </w:t>
      </w:r>
      <w:r w:rsidRPr="00CE170C" w:rsidR="00CE170C">
        <w:t>over de voortgang van het Nederlandse Herstel- en Veerkrachtplan (HVP).</w:t>
      </w:r>
      <w:r w:rsidR="00882FB1">
        <w:t xml:space="preserve"> </w:t>
      </w:r>
    </w:p>
    <w:p w:rsidR="005A0DD2" w:rsidRDefault="005A0DD2" w14:paraId="35037BCD" w14:textId="77777777"/>
    <w:p w:rsidR="00CE170C" w:rsidRDefault="00F57CC9" w14:paraId="61B12C2E" w14:textId="77777777">
      <w:pPr>
        <w:rPr>
          <w:b/>
          <w:bCs/>
        </w:rPr>
      </w:pPr>
      <w:r>
        <w:rPr>
          <w:b/>
          <w:bCs/>
        </w:rPr>
        <w:t>Voortgang mijlpalen en doelstellingen</w:t>
      </w:r>
    </w:p>
    <w:p w:rsidR="00610477" w:rsidRDefault="005F5EC5" w14:paraId="64F8D034" w14:textId="77777777">
      <w:r>
        <w:t>Zoals bekend is de HVF eindig:</w:t>
      </w:r>
      <w:r w:rsidR="005C3654">
        <w:t xml:space="preserve"> uiterlijk</w:t>
      </w:r>
      <w:r>
        <w:t xml:space="preserve"> eind </w:t>
      </w:r>
      <w:r w:rsidR="0010781E">
        <w:t xml:space="preserve">augustus </w:t>
      </w:r>
      <w:r>
        <w:t>2026 moeten</w:t>
      </w:r>
      <w:r w:rsidR="004F39AD">
        <w:t xml:space="preserve"> alle mijlpalen en doelstellingen zijn behaald.</w:t>
      </w:r>
      <w:r>
        <w:t xml:space="preserve"> </w:t>
      </w:r>
      <w:r w:rsidR="00610477">
        <w:t xml:space="preserve">Voor </w:t>
      </w:r>
      <w:r>
        <w:t xml:space="preserve">het overgrote </w:t>
      </w:r>
      <w:r w:rsidR="00610477">
        <w:t xml:space="preserve">deel </w:t>
      </w:r>
      <w:r>
        <w:t>ver</w:t>
      </w:r>
      <w:r w:rsidR="00610477">
        <w:t xml:space="preserve">loopt </w:t>
      </w:r>
      <w:r w:rsidR="00A309C7">
        <w:t>de implementatie</w:t>
      </w:r>
      <w:r>
        <w:t xml:space="preserve"> van de resterende mijlpalen en doelstellingen</w:t>
      </w:r>
      <w:r w:rsidR="00A309C7">
        <w:t xml:space="preserve"> </w:t>
      </w:r>
      <w:r w:rsidRPr="00CE170C" w:rsidR="00CE170C">
        <w:t>voorspoedig</w:t>
      </w:r>
      <w:r>
        <w:t xml:space="preserve"> en is voorzien dat genoemde deadline zal worden behaald. O</w:t>
      </w:r>
      <w:r w:rsidR="00A309C7">
        <w:t xml:space="preserve">p </w:t>
      </w:r>
      <w:r>
        <w:t xml:space="preserve">enkele, belangrijke </w:t>
      </w:r>
      <w:r w:rsidR="00A309C7">
        <w:t xml:space="preserve">onderdelen kent de implementatie </w:t>
      </w:r>
      <w:r>
        <w:t xml:space="preserve">echter </w:t>
      </w:r>
      <w:r w:rsidR="00A309C7">
        <w:t>uitdagingen</w:t>
      </w:r>
      <w:r w:rsidRPr="00CE170C" w:rsidR="00CE170C">
        <w:t xml:space="preserve">. </w:t>
      </w:r>
    </w:p>
    <w:p w:rsidR="005F5EC5" w:rsidP="005F5EC5" w:rsidRDefault="005F5EC5" w14:paraId="38583F85" w14:textId="77777777"/>
    <w:p w:rsidR="007B0FA5" w:rsidRDefault="004F39AD" w14:paraId="2C89A8FC" w14:textId="77777777">
      <w:r>
        <w:t>De grootste uitdagingen liggen bij de</w:t>
      </w:r>
      <w:r w:rsidR="00A309C7">
        <w:t xml:space="preserve"> drie </w:t>
      </w:r>
      <w:r w:rsidR="00610477">
        <w:t>wetgevingstrajecten die onderdeel zijn van het HVP</w:t>
      </w:r>
      <w:r w:rsidR="00A309C7">
        <w:t xml:space="preserve">. De voortgang van deze drie wetgevingsvoorstellen is vertraagd, waardoor er een aanzienlijk risico is dat de HVP-deadline niet gehaald gaat worden. Het betreft de voorstellen voor </w:t>
      </w:r>
      <w:r w:rsidR="00610477">
        <w:t xml:space="preserve">de </w:t>
      </w:r>
      <w:r w:rsidRPr="00B45334" w:rsidR="00610477">
        <w:t>Wet versterking regie volkshuisvesting</w:t>
      </w:r>
      <w:r w:rsidR="00610477">
        <w:t xml:space="preserve"> (Wet Regie), Wet </w:t>
      </w:r>
      <w:r w:rsidRPr="00B45334" w:rsidR="00610477">
        <w:t xml:space="preserve">Verduidelijking </w:t>
      </w:r>
      <w:r w:rsidR="00610477">
        <w:t>b</w:t>
      </w:r>
      <w:r w:rsidRPr="00B45334" w:rsidR="00610477">
        <w:t xml:space="preserve">eoordeling </w:t>
      </w:r>
      <w:r w:rsidR="00610477">
        <w:t>a</w:t>
      </w:r>
      <w:r w:rsidRPr="00B45334" w:rsidR="00610477">
        <w:t xml:space="preserve">rbeidsrelaties en </w:t>
      </w:r>
      <w:r w:rsidR="00610477">
        <w:t>r</w:t>
      </w:r>
      <w:r w:rsidRPr="00B45334" w:rsidR="00610477">
        <w:t>echtsvermoeden</w:t>
      </w:r>
      <w:r w:rsidR="00610477">
        <w:t xml:space="preserve"> (</w:t>
      </w:r>
      <w:proofErr w:type="spellStart"/>
      <w:r w:rsidR="00610477">
        <w:t>V</w:t>
      </w:r>
      <w:r w:rsidR="00482B32">
        <w:t>bar</w:t>
      </w:r>
      <w:proofErr w:type="spellEnd"/>
      <w:r w:rsidR="00610477">
        <w:t xml:space="preserve">) en </w:t>
      </w:r>
      <w:r w:rsidRPr="00B45334" w:rsidR="00610477">
        <w:t>Wet Basisverzekering Arbeidsongeschiktheid Zelfstandigen</w:t>
      </w:r>
      <w:r w:rsidR="00610477">
        <w:t xml:space="preserve"> (BAZ).</w:t>
      </w:r>
      <w:r w:rsidR="00B062D8">
        <w:t xml:space="preserve"> Het kabinet heeft de Kamer regelmatig geïnformeerd over de voortgang van deze wetgevingstrajecten.</w:t>
      </w:r>
      <w:r w:rsidR="00B062D8">
        <w:rPr>
          <w:rStyle w:val="Voetnootmarkering"/>
        </w:rPr>
        <w:footnoteReference w:id="2"/>
      </w:r>
      <w:r w:rsidR="00A309C7">
        <w:t xml:space="preserve"> </w:t>
      </w:r>
      <w:r w:rsidR="005F5EC5">
        <w:t xml:space="preserve">Daarnaast is een mijlpaal </w:t>
      </w:r>
      <w:r w:rsidRPr="00AC1538" w:rsidR="005F5EC5">
        <w:t>die ziet op het ontwerpbesluit procedurele versnellingen</w:t>
      </w:r>
      <w:r w:rsidR="00B062D8">
        <w:t xml:space="preserve"> </w:t>
      </w:r>
      <w:r w:rsidRPr="00AC1538" w:rsidR="005F5EC5">
        <w:t xml:space="preserve">elektriciteitsprojecten </w:t>
      </w:r>
      <w:r w:rsidR="005F5EC5">
        <w:t>afhankelijk van de tijdige publicatie van de</w:t>
      </w:r>
      <w:r w:rsidRPr="00AC1538" w:rsidR="005F5EC5">
        <w:t xml:space="preserve"> Wet Regie. </w:t>
      </w:r>
      <w:r w:rsidR="005F5EC5">
        <w:t xml:space="preserve">Zodoende kan deze mijlpaal niet worden behaald zonder tijdige </w:t>
      </w:r>
      <w:r w:rsidRPr="00AC1538" w:rsidR="005F5EC5">
        <w:t xml:space="preserve">publicatie van de Wet Regie. </w:t>
      </w:r>
    </w:p>
    <w:p w:rsidR="007B0FA5" w:rsidRDefault="007B0FA5" w14:paraId="382492F4" w14:textId="77777777"/>
    <w:p w:rsidR="00020C80" w:rsidP="005F5EC5" w:rsidRDefault="005F5EC5" w14:paraId="6C543F80" w14:textId="77777777">
      <w:r>
        <w:t xml:space="preserve">Vanwege de eindigheid van de HVF dienen de Wet </w:t>
      </w:r>
      <w:proofErr w:type="spellStart"/>
      <w:r>
        <w:t>Vbar</w:t>
      </w:r>
      <w:proofErr w:type="spellEnd"/>
      <w:r>
        <w:t xml:space="preserve">, de </w:t>
      </w:r>
      <w:r w:rsidRPr="00B45334">
        <w:t xml:space="preserve">Wet </w:t>
      </w:r>
      <w:r>
        <w:t xml:space="preserve">Regie, de Wet BAZ en </w:t>
      </w:r>
      <w:r w:rsidRPr="00AC1538">
        <w:t>het ontwerpbesluit procedurele versnellingen elektriciteitsprojecten</w:t>
      </w:r>
      <w:r>
        <w:t xml:space="preserve"> op zijn laatst op 31 augustus 2026 gepubliceerd</w:t>
      </w:r>
      <w:r w:rsidR="00192925">
        <w:t xml:space="preserve"> te</w:t>
      </w:r>
      <w:r>
        <w:t xml:space="preserve"> zijn in het Staatsblad.</w:t>
      </w:r>
      <w:r w:rsidR="00BE207A">
        <w:t xml:space="preserve"> </w:t>
      </w:r>
    </w:p>
    <w:p w:rsidR="00192925" w:rsidP="005F5EC5" w:rsidRDefault="005F5EC5" w14:paraId="6E267873" w14:textId="07F20FC9">
      <w:proofErr w:type="gramStart"/>
      <w:r>
        <w:lastRenderedPageBreak/>
        <w:t>Indien</w:t>
      </w:r>
      <w:proofErr w:type="gramEnd"/>
      <w:r>
        <w:t xml:space="preserve"> d</w:t>
      </w:r>
      <w:r w:rsidR="00192925">
        <w:t>eze deadline niet gehaald wordt</w:t>
      </w:r>
      <w:r>
        <w:t xml:space="preserve"> zal dit leiden tot een forse korting op de te ontvangen HVF-middelen, oplopend tot €600 miljoen per niet-behaalde mijlpaal.</w:t>
      </w:r>
    </w:p>
    <w:p w:rsidR="005F5EC5" w:rsidP="005F5EC5" w:rsidRDefault="005F5EC5" w14:paraId="54E7BD80" w14:textId="77777777">
      <w:r>
        <w:t xml:space="preserve"> </w:t>
      </w:r>
    </w:p>
    <w:p w:rsidR="00F57CC9" w:rsidRDefault="00192925" w14:paraId="595DBCBA" w14:textId="34EFB0E9">
      <w:r w:rsidRPr="00CE170C">
        <w:t>In de bijlage kunt u de status van alle mijlpalen en doelstellingen raadplegen, waaruit is af te leiden dat de meeste mijlpalen en doelstellingen tijdig</w:t>
      </w:r>
      <w:r>
        <w:t xml:space="preserve"> </w:t>
      </w:r>
      <w:r w:rsidRPr="00CE170C">
        <w:t xml:space="preserve">zijn of worden afgerond. </w:t>
      </w:r>
      <w:r>
        <w:t xml:space="preserve">Deze status wordt ook gedeeld met de Europese Commissie als onderdeel van de halfjaarlijkse rapportage. </w:t>
      </w:r>
      <w:r w:rsidRPr="00CE170C">
        <w:t>Van enkele mijlpalen en doelstellingen is de initiële streefdatum overschreden, maar blijft</w:t>
      </w:r>
      <w:r>
        <w:t xml:space="preserve"> het</w:t>
      </w:r>
      <w:r w:rsidRPr="00CE170C">
        <w:t xml:space="preserve"> mogelijk om ze voor indiening van de betaalverzoeken alsnog af </w:t>
      </w:r>
      <w:r>
        <w:t xml:space="preserve">te </w:t>
      </w:r>
      <w:r w:rsidRPr="00CE170C">
        <w:t>ronden</w:t>
      </w:r>
      <w:r>
        <w:t xml:space="preserve"> of is het mogelijk de mijlpalen en doelstellingen te wijzigen waardoor ze wel haalbaar zijn</w:t>
      </w:r>
      <w:r w:rsidRPr="00CE170C">
        <w:t>.</w:t>
      </w:r>
      <w:r>
        <w:t xml:space="preserve"> Deze wijziging wordt bewerkstelligd in het hieronder beschreven wijzigingsverzoek.</w:t>
      </w:r>
    </w:p>
    <w:p w:rsidR="00F621F0" w:rsidRDefault="00F621F0" w14:paraId="7C1E149E" w14:textId="77777777">
      <w:pPr>
        <w:rPr>
          <w:b/>
          <w:bCs/>
        </w:rPr>
      </w:pPr>
    </w:p>
    <w:p w:rsidR="0028253B" w:rsidP="0028253B" w:rsidRDefault="0028253B" w14:paraId="2909E491" w14:textId="77777777">
      <w:pPr>
        <w:rPr>
          <w:b/>
          <w:bCs/>
        </w:rPr>
      </w:pPr>
      <w:r>
        <w:rPr>
          <w:b/>
          <w:bCs/>
        </w:rPr>
        <w:t>Wijzigingsverzoek van het HVP</w:t>
      </w:r>
    </w:p>
    <w:p w:rsidR="00292F1D" w:rsidP="0028253B" w:rsidRDefault="0028253B" w14:paraId="7B924931" w14:textId="77777777">
      <w:r>
        <w:t>In een recente mededeling van 4 juni 2025 roept de Commissie lidstaten op om</w:t>
      </w:r>
      <w:r w:rsidRPr="004019BE">
        <w:t xml:space="preserve"> hun </w:t>
      </w:r>
      <w:r>
        <w:t>H</w:t>
      </w:r>
      <w:r w:rsidRPr="004019BE">
        <w:t xml:space="preserve">erstel- en </w:t>
      </w:r>
      <w:r>
        <w:t>V</w:t>
      </w:r>
      <w:r w:rsidRPr="004019BE">
        <w:t xml:space="preserve">eerkrachtplannen uiterlijk eind 2025 </w:t>
      </w:r>
      <w:r>
        <w:t xml:space="preserve">te </w:t>
      </w:r>
      <w:r w:rsidRPr="004019BE">
        <w:t xml:space="preserve">herzien om </w:t>
      </w:r>
      <w:proofErr w:type="gramStart"/>
      <w:r>
        <w:t>er voor</w:t>
      </w:r>
      <w:proofErr w:type="gramEnd"/>
      <w:r>
        <w:t xml:space="preserve"> te zorgen dat</w:t>
      </w:r>
      <w:r w:rsidRPr="004019BE">
        <w:t xml:space="preserve"> alle maatregelen vóór 31 augustus 2026 volledig zijn uitgevoerd.</w:t>
      </w:r>
      <w:r>
        <w:rPr>
          <w:rStyle w:val="Voetnootmarkering"/>
        </w:rPr>
        <w:footnoteReference w:id="3"/>
      </w:r>
      <w:r w:rsidRPr="004019BE">
        <w:t xml:space="preserve"> </w:t>
      </w:r>
      <w:r w:rsidR="0010781E">
        <w:t xml:space="preserve">Volgens deze mededeling </w:t>
      </w:r>
      <w:r>
        <w:t xml:space="preserve">is het mogelijk de specifieke bewoording van mijlpalen en doelstellingen aan te passen om zo de administratieve lasten te verlichten met behoud van de algehele ambitie. </w:t>
      </w:r>
    </w:p>
    <w:p w:rsidR="00292F1D" w:rsidP="0028253B" w:rsidRDefault="00292F1D" w14:paraId="360ED7AF" w14:textId="77777777"/>
    <w:p w:rsidR="0010781E" w:rsidP="0028253B" w:rsidRDefault="0028253B" w14:paraId="72752A37" w14:textId="77777777">
      <w:r>
        <w:t xml:space="preserve">Het kabinet verwelkomt deze mededeling en heeft sinds de afgelopen zomer in overleg met de Commissie een wijzigingsverzoek voorbereid. Dit wijzigingsverzoek richt zich vooral op het eenvoudiger verwoorden van de mijlpalen en doelstellingen om zo de administratieve lasten te verlichten. </w:t>
      </w:r>
    </w:p>
    <w:p w:rsidR="0010781E" w:rsidP="0028253B" w:rsidRDefault="0010781E" w14:paraId="13E1716D" w14:textId="77777777"/>
    <w:p w:rsidRPr="00A71A5A" w:rsidR="004304E0" w:rsidP="004304E0" w:rsidRDefault="0028253B" w14:paraId="27B70B7A" w14:textId="4EF2AFF4">
      <w:r>
        <w:t xml:space="preserve">Daarnaast is het </w:t>
      </w:r>
      <w:proofErr w:type="gramStart"/>
      <w:r>
        <w:t>conform</w:t>
      </w:r>
      <w:proofErr w:type="gramEnd"/>
      <w:r>
        <w:t xml:space="preserve"> artikel 21 van de HVF-verordening mogelijk het HVP te wijzingen op basis van objectieve omstandigheden of wanneer een beter alternatief wordt voorgesteld, waarbij het oorspronkelijke ambitieniveau van de maatregel onveranderd blijft.</w:t>
      </w:r>
      <w:r>
        <w:rPr>
          <w:rStyle w:val="Voetnootmarkering"/>
        </w:rPr>
        <w:footnoteReference w:id="4"/>
      </w:r>
      <w:r>
        <w:t xml:space="preserve"> </w:t>
      </w:r>
      <w:r w:rsidRPr="00A71A5A" w:rsidR="004304E0">
        <w:t xml:space="preserve">Voor de investeringen die op dit moment niet meer haalbaar geacht worden tijdens de looptijd van de HVF zal worden voorgesteld deze te vervangen voor een beter alternatief. </w:t>
      </w:r>
    </w:p>
    <w:p w:rsidR="0028253B" w:rsidP="0028253B" w:rsidRDefault="0028253B" w14:paraId="1F6C280F" w14:textId="77777777"/>
    <w:p w:rsidR="0028253B" w:rsidP="0028253B" w:rsidRDefault="00BC484A" w14:paraId="1349905C" w14:textId="77777777">
      <w:r>
        <w:t>In het wijzigingsverzoek zal het</w:t>
      </w:r>
      <w:r w:rsidRPr="00563EE6" w:rsidR="0028253B">
        <w:t xml:space="preserve"> kabinet </w:t>
      </w:r>
      <w:r>
        <w:t>ook</w:t>
      </w:r>
      <w:r w:rsidRPr="00563EE6" w:rsidR="0028253B">
        <w:t xml:space="preserve"> voorstellen om de vertraagde hervormingen </w:t>
      </w:r>
      <w:r w:rsidR="00F57CC9">
        <w:t>(</w:t>
      </w:r>
      <w:r w:rsidRPr="00563EE6" w:rsidR="0028253B">
        <w:t xml:space="preserve">de Wet </w:t>
      </w:r>
      <w:proofErr w:type="spellStart"/>
      <w:r w:rsidRPr="00563EE6" w:rsidR="0028253B">
        <w:t>Vbar</w:t>
      </w:r>
      <w:proofErr w:type="spellEnd"/>
      <w:r w:rsidR="0028253B">
        <w:t xml:space="preserve">, de </w:t>
      </w:r>
      <w:r w:rsidRPr="00B45334" w:rsidR="0028253B">
        <w:t xml:space="preserve">Wet </w:t>
      </w:r>
      <w:r w:rsidR="0028253B">
        <w:t xml:space="preserve">Regie en </w:t>
      </w:r>
      <w:r w:rsidRPr="00AC1538" w:rsidR="0028253B">
        <w:t>het ontwerpbesluit procedurele versnellingen elektriciteitsprojecten</w:t>
      </w:r>
      <w:r w:rsidR="00F57CC9">
        <w:t>)</w:t>
      </w:r>
      <w:r w:rsidRPr="00857E39" w:rsidR="0028253B">
        <w:t xml:space="preserve"> </w:t>
      </w:r>
      <w:r w:rsidR="00DC32C1">
        <w:t xml:space="preserve">van het derde naar het vijfde betaalverzoek te </w:t>
      </w:r>
      <w:r w:rsidRPr="00857E39" w:rsidR="0028253B">
        <w:t>verplaatsen.</w:t>
      </w:r>
      <w:r>
        <w:rPr>
          <w:rStyle w:val="Voetnootmarkering"/>
        </w:rPr>
        <w:footnoteReference w:id="5"/>
      </w:r>
      <w:r w:rsidR="0028253B">
        <w:t xml:space="preserve"> </w:t>
      </w:r>
      <w:r w:rsidR="00DC32C1">
        <w:t>Met deze verplaatsing wordt de maximale looptijd van de HVF benut om het alsnog mogelijk te maken de mijlpalen te behalen. Een inhoudelijke wijziging van de mijlpalen is echter (vooralsnog) niet mogelijk</w:t>
      </w:r>
      <w:r w:rsidR="00ED1937">
        <w:t>. H</w:t>
      </w:r>
      <w:r>
        <w:t>ierover blijft het kabinet in gesprek met de Commissie</w:t>
      </w:r>
      <w:r w:rsidR="0028253B">
        <w:t>. Doordat alle beoogde ontvangsten van de resterende drie betaalverzoeken in 2026 vallen heeft d</w:t>
      </w:r>
      <w:r w:rsidR="00DC32C1">
        <w:t>e verplaatsing van de mijlpalen</w:t>
      </w:r>
      <w:r w:rsidR="0028253B">
        <w:t xml:space="preserve"> geen gevolgen voor de Rijksbegroting.</w:t>
      </w:r>
    </w:p>
    <w:p w:rsidR="0028253B" w:rsidP="0028253B" w:rsidRDefault="0028253B" w14:paraId="0833C2C9" w14:textId="77777777"/>
    <w:p w:rsidR="00136C9E" w:rsidRDefault="0028253B" w14:paraId="5C895DAE" w14:textId="77777777">
      <w:r w:rsidRPr="00A71A5A">
        <w:t>Het kabinet</w:t>
      </w:r>
      <w:r w:rsidRPr="00A71A5A" w:rsidR="00A97142">
        <w:t xml:space="preserve"> is voornemens </w:t>
      </w:r>
      <w:r w:rsidRPr="00A71A5A">
        <w:t xml:space="preserve">het wijzigingsverzoek </w:t>
      </w:r>
      <w:r w:rsidRPr="00A71A5A" w:rsidR="00A97142">
        <w:t>voor het einde van dit jaar bij de Commissie in te dienen.</w:t>
      </w:r>
      <w:r w:rsidRPr="00A71A5A" w:rsidR="00270ABD">
        <w:t xml:space="preserve"> </w:t>
      </w:r>
      <w:r w:rsidRPr="00A71A5A">
        <w:t>De</w:t>
      </w:r>
      <w:r>
        <w:t xml:space="preserve"> Commissie heeft vervolgens twee maanden de tijd om het wijzigingsverzoek te beoordelen. </w:t>
      </w:r>
    </w:p>
    <w:p w:rsidR="00D517D5" w:rsidRDefault="0028253B" w14:paraId="44C456B0" w14:textId="2C809964">
      <w:proofErr w:type="gramStart"/>
      <w:r>
        <w:lastRenderedPageBreak/>
        <w:t>Indien</w:t>
      </w:r>
      <w:proofErr w:type="gramEnd"/>
      <w:r>
        <w:t xml:space="preserve"> dit oordeel positief is zal de Commissie een nieuw voorstel voor een raadsuitvoeringsbesluit ter goedkeuring van het HVP voorleggen aan de Ecofinraad. Over dit besluit zal ik uw Kamer infomeren.</w:t>
      </w:r>
    </w:p>
    <w:p w:rsidRPr="0026035E" w:rsidR="0028253B" w:rsidRDefault="0028253B" w14:paraId="3B3E6439" w14:textId="77777777"/>
    <w:p w:rsidRPr="00F621F0" w:rsidR="00F5142D" w:rsidRDefault="00F621F0" w14:paraId="6397A0B8" w14:textId="77777777">
      <w:pPr>
        <w:rPr>
          <w:b/>
          <w:bCs/>
        </w:rPr>
      </w:pPr>
      <w:r w:rsidRPr="00F621F0">
        <w:rPr>
          <w:b/>
          <w:bCs/>
        </w:rPr>
        <w:t>Indiening d</w:t>
      </w:r>
      <w:r w:rsidRPr="00F621F0" w:rsidR="00F5142D">
        <w:rPr>
          <w:b/>
          <w:bCs/>
        </w:rPr>
        <w:t>erde betaalverzoek</w:t>
      </w:r>
    </w:p>
    <w:p w:rsidR="00BE34B8" w:rsidP="00D5014B" w:rsidRDefault="00F5142D" w14:paraId="4AFD8DA8" w14:textId="7DAFA884">
      <w:r>
        <w:t xml:space="preserve">Zoals eerder aan uw Kamer is gemeld, is de indiening van het derde betaalverzoek uitgesteld tot de tweede helft van 2025 omdat </w:t>
      </w:r>
      <w:r w:rsidRPr="001E4EEE">
        <w:t>enkele</w:t>
      </w:r>
      <w:r>
        <w:t xml:space="preserve"> </w:t>
      </w:r>
      <w:r w:rsidRPr="001E4EEE">
        <w:t xml:space="preserve">wetgevingstrajecten uit het derde betaalverzoek nog niet </w:t>
      </w:r>
      <w:r w:rsidR="00D71751">
        <w:t>waren</w:t>
      </w:r>
      <w:r>
        <w:t xml:space="preserve"> </w:t>
      </w:r>
      <w:r w:rsidRPr="001E4EEE">
        <w:t>afgerond</w:t>
      </w:r>
      <w:r w:rsidR="00792328">
        <w:t>.</w:t>
      </w:r>
      <w:r w:rsidR="00792328">
        <w:rPr>
          <w:rStyle w:val="Voetnootmarkering"/>
        </w:rPr>
        <w:footnoteReference w:id="6"/>
      </w:r>
      <w:r>
        <w:t xml:space="preserve"> Het gaat hier ten eerste om het wetsvoorstel</w:t>
      </w:r>
      <w:r w:rsidR="00F621F0">
        <w:t xml:space="preserve"> </w:t>
      </w:r>
      <w:proofErr w:type="spellStart"/>
      <w:r w:rsidR="00F621F0">
        <w:t>Vbar</w:t>
      </w:r>
      <w:proofErr w:type="spellEnd"/>
      <w:r>
        <w:t>. Dit wetsvoorstel is op 7 juli jl. ingediend bij de Tweede Kamer en moet nog worden behandeld</w:t>
      </w:r>
      <w:r w:rsidR="00323FBB">
        <w:t xml:space="preserve"> door beide Kamers</w:t>
      </w:r>
      <w:r>
        <w:t>.</w:t>
      </w:r>
      <w:r w:rsidR="002E2EE0">
        <w:rPr>
          <w:rStyle w:val="Voetnootmarkering"/>
        </w:rPr>
        <w:footnoteReference w:id="7"/>
      </w:r>
      <w:r>
        <w:t xml:space="preserve"> Daarnaast is </w:t>
      </w:r>
      <w:r w:rsidR="00482B32">
        <w:t>de W</w:t>
      </w:r>
      <w:r w:rsidR="00F621F0">
        <w:t>et Regie</w:t>
      </w:r>
      <w:r w:rsidR="00482B32">
        <w:t xml:space="preserve"> </w:t>
      </w:r>
      <w:r w:rsidR="00933FD4">
        <w:t xml:space="preserve">nog </w:t>
      </w:r>
      <w:r>
        <w:t>niet aangenomen door de Eerste Kamer. Op 26 augustus jl. heeft het kabinet aan</w:t>
      </w:r>
      <w:r w:rsidR="003E1966">
        <w:t>ge</w:t>
      </w:r>
      <w:r>
        <w:t>geven dat de</w:t>
      </w:r>
      <w:r w:rsidRPr="00033572">
        <w:t xml:space="preserve"> geamendeerde onderdelen </w:t>
      </w:r>
      <w:r>
        <w:t xml:space="preserve">uit dit wetsvoorstel problemen kennen </w:t>
      </w:r>
      <w:r w:rsidRPr="00033572">
        <w:t>ten aanzien van de juridische houdbaarheid en uitvoerbaarheid</w:t>
      </w:r>
      <w:r>
        <w:t>, waarvoor reparatie nodig is.</w:t>
      </w:r>
      <w:r w:rsidR="00EF11E3">
        <w:rPr>
          <w:rStyle w:val="Voetnootmarkering"/>
        </w:rPr>
        <w:footnoteReference w:id="8"/>
      </w:r>
      <w:r w:rsidR="00F621F0">
        <w:t xml:space="preserve"> Op 9 september </w:t>
      </w:r>
      <w:r w:rsidR="003E1966">
        <w:t xml:space="preserve">jl. </w:t>
      </w:r>
      <w:r w:rsidR="00F621F0">
        <w:t xml:space="preserve">heeft het kabinet </w:t>
      </w:r>
      <w:r w:rsidR="00482B32">
        <w:t>u hier verder over geïnformeerd</w:t>
      </w:r>
      <w:r w:rsidRPr="00A71A5A" w:rsidR="00482B32">
        <w:t>.</w:t>
      </w:r>
      <w:r w:rsidRPr="00A71A5A" w:rsidR="00EF11E3">
        <w:rPr>
          <w:rStyle w:val="Voetnootmarkering"/>
        </w:rPr>
        <w:footnoteReference w:id="9"/>
      </w:r>
      <w:r w:rsidRPr="00A71A5A" w:rsidR="00371099">
        <w:t xml:space="preserve"> Zoals aangegeven </w:t>
      </w:r>
      <w:r w:rsidRPr="00A71A5A" w:rsidR="0060407C">
        <w:t xml:space="preserve">zal het kabinet </w:t>
      </w:r>
      <w:r w:rsidRPr="00A71A5A" w:rsidR="00371099">
        <w:t xml:space="preserve">de Commissie </w:t>
      </w:r>
      <w:r w:rsidRPr="00A71A5A" w:rsidR="0060407C">
        <w:t xml:space="preserve">verzoeken </w:t>
      </w:r>
      <w:r w:rsidRPr="00A71A5A" w:rsidR="00371099">
        <w:t xml:space="preserve">om de twee wetgevingstrajecten (en het daarmee samenhangende </w:t>
      </w:r>
      <w:r w:rsidRPr="00A71A5A" w:rsidR="00D5014B">
        <w:t>ontwerpbesluit procedurele versnellingen elektriciteitsprojecten) te verplaatsen van het derde naar het vijfde betaalverzoek.</w:t>
      </w:r>
      <w:r w:rsidRPr="00A71A5A" w:rsidR="004304E0">
        <w:t xml:space="preserve"> Met dit wijzigingsverzoek</w:t>
      </w:r>
      <w:r w:rsidRPr="00A71A5A" w:rsidR="00D5014B">
        <w:t xml:space="preserve"> wordt de belemmering voor het indienen van het derde betaalverzoek weggenomen. </w:t>
      </w:r>
      <w:r w:rsidRPr="00A71A5A">
        <w:t xml:space="preserve">Ik </w:t>
      </w:r>
      <w:r w:rsidRPr="00A71A5A" w:rsidR="00A97142">
        <w:t xml:space="preserve">ben dan ook voornemens </w:t>
      </w:r>
      <w:r w:rsidRPr="00A71A5A" w:rsidR="004304E0">
        <w:t>na de indiening van d</w:t>
      </w:r>
      <w:r w:rsidRPr="00A71A5A" w:rsidR="00AE4313">
        <w:t xml:space="preserve">it </w:t>
      </w:r>
      <w:r w:rsidRPr="00A71A5A" w:rsidR="004304E0">
        <w:t xml:space="preserve">wijzigingsverzoek en voor </w:t>
      </w:r>
      <w:r w:rsidRPr="00A71A5A" w:rsidR="00A97142">
        <w:t xml:space="preserve">het einde van het jaar </w:t>
      </w:r>
      <w:r w:rsidRPr="00A71A5A">
        <w:t>het derde betaalverzoek namens het kabinet in</w:t>
      </w:r>
      <w:r w:rsidRPr="00A71A5A" w:rsidR="00672F55">
        <w:t xml:space="preserve"> te </w:t>
      </w:r>
      <w:r w:rsidRPr="00A71A5A">
        <w:t>dienen.</w:t>
      </w:r>
      <w:r>
        <w:t xml:space="preserve"> </w:t>
      </w:r>
    </w:p>
    <w:p w:rsidR="00BE34B8" w:rsidRDefault="00BE34B8" w14:paraId="7C304590" w14:textId="77777777"/>
    <w:p w:rsidR="00EC2FC1" w:rsidRDefault="00014218" w14:paraId="62E995DA" w14:textId="77777777">
      <w:bookmarkStart w:name="_Hlk211330492" w:id="0"/>
      <w:r>
        <w:t xml:space="preserve">Zoals u kunt lezen in de bijlage </w:t>
      </w:r>
      <w:r w:rsidR="00797BA9">
        <w:t xml:space="preserve">zijn </w:t>
      </w:r>
      <w:r>
        <w:t>ook de wet die een limiet voor contante betalingen</w:t>
      </w:r>
      <w:r w:rsidR="005E7B6A">
        <w:t xml:space="preserve"> introduceert</w:t>
      </w:r>
      <w:r w:rsidR="006179A1">
        <w:t xml:space="preserve"> (Wet plan aanpak witwassen) en de Energiewet vertraagd.</w:t>
      </w:r>
      <w:r>
        <w:t xml:space="preserve"> Deze wet</w:t>
      </w:r>
      <w:r w:rsidR="006179A1">
        <w:t>ten</w:t>
      </w:r>
      <w:r>
        <w:t xml:space="preserve"> z</w:t>
      </w:r>
      <w:r w:rsidR="006179A1">
        <w:t xml:space="preserve">ullen echter op </w:t>
      </w:r>
      <w:r>
        <w:t>1 januari 2026 in</w:t>
      </w:r>
      <w:r w:rsidR="006179A1">
        <w:t>werkingtreden, zodoende</w:t>
      </w:r>
      <w:r w:rsidR="00797BA9">
        <w:t xml:space="preserve"> kunnen</w:t>
      </w:r>
      <w:r w:rsidR="006179A1">
        <w:t xml:space="preserve"> deze mijlpa</w:t>
      </w:r>
      <w:r w:rsidR="00BA405D">
        <w:t>len</w:t>
      </w:r>
      <w:r w:rsidR="006179A1">
        <w:t xml:space="preserve"> in het derde betaalverzoek blijven staan.</w:t>
      </w:r>
      <w:r w:rsidR="00BA405D">
        <w:rPr>
          <w:rStyle w:val="Voetnootmarkering"/>
        </w:rPr>
        <w:footnoteReference w:id="10"/>
      </w:r>
      <w:r>
        <w:t xml:space="preserve"> </w:t>
      </w:r>
      <w:r w:rsidR="00EF11E3">
        <w:t>De ander</w:t>
      </w:r>
      <w:r w:rsidR="00922EBF">
        <w:t>e</w:t>
      </w:r>
      <w:r w:rsidR="00EF11E3">
        <w:t xml:space="preserve"> mijlpalen en doelstellingen die onderdeel </w:t>
      </w:r>
      <w:r w:rsidR="00323FBB">
        <w:t xml:space="preserve">zijn </w:t>
      </w:r>
      <w:r w:rsidR="00EF11E3">
        <w:t xml:space="preserve">van </w:t>
      </w:r>
      <w:r w:rsidR="00323FBB">
        <w:t xml:space="preserve">het derde </w:t>
      </w:r>
      <w:r w:rsidR="00EF11E3">
        <w:t xml:space="preserve">betaalverzoek </w:t>
      </w:r>
      <w:r w:rsidR="00BB7CF3">
        <w:t>z</w:t>
      </w:r>
      <w:r w:rsidR="007538B0">
        <w:t>ijn</w:t>
      </w:r>
      <w:r w:rsidR="00BB7CF3">
        <w:t xml:space="preserve"> tijdig</w:t>
      </w:r>
      <w:r w:rsidR="00EF11E3">
        <w:t xml:space="preserve"> behaald</w:t>
      </w:r>
      <w:r>
        <w:t>.</w:t>
      </w:r>
    </w:p>
    <w:bookmarkEnd w:id="0"/>
    <w:p w:rsidR="00CE170C" w:rsidP="00CE170C" w:rsidRDefault="00CE170C" w14:paraId="3626C5CE" w14:textId="77777777"/>
    <w:p w:rsidRPr="00F621F0" w:rsidR="00131C09" w:rsidP="00CE170C" w:rsidRDefault="00CE170C" w14:paraId="087F421C" w14:textId="77777777">
      <w:pPr>
        <w:rPr>
          <w:b/>
          <w:bCs/>
        </w:rPr>
      </w:pPr>
      <w:r w:rsidRPr="00F621F0">
        <w:rPr>
          <w:b/>
          <w:bCs/>
        </w:rPr>
        <w:t xml:space="preserve">Vierde en vijfde betaalverzoek </w:t>
      </w:r>
    </w:p>
    <w:p w:rsidR="00136C9E" w:rsidP="00CE170C" w:rsidRDefault="006537AE" w14:paraId="0E15F825" w14:textId="300C864A">
      <w:r>
        <w:t xml:space="preserve">Gelijktijdig aan het indienen van het derde betaalverzoek </w:t>
      </w:r>
      <w:r w:rsidR="00336555">
        <w:t>werkt het kabinet</w:t>
      </w:r>
      <w:r>
        <w:t xml:space="preserve"> aan de voorbereiding van het vierde en vijfde betaalverzoek</w:t>
      </w:r>
      <w:r w:rsidR="00343439">
        <w:t>.</w:t>
      </w:r>
      <w:r w:rsidR="008315B5">
        <w:t xml:space="preserve"> </w:t>
      </w:r>
      <w:r>
        <w:t>De voorbereiding van deze betaalverzoeken lo</w:t>
      </w:r>
      <w:r w:rsidR="001037D3">
        <w:t>opt</w:t>
      </w:r>
      <w:r>
        <w:t xml:space="preserve"> grotendeels voorspoedig. </w:t>
      </w:r>
      <w:r w:rsidR="004A4B21">
        <w:t xml:space="preserve">In een aantal gevallen </w:t>
      </w:r>
      <w:r w:rsidR="001037D3">
        <w:t xml:space="preserve">heeft de uitvoering van mijlpalen en doelstellingen </w:t>
      </w:r>
      <w:r w:rsidR="004A4B21">
        <w:t xml:space="preserve">vertraging opgelopen. </w:t>
      </w:r>
      <w:r w:rsidR="00236AA6">
        <w:t xml:space="preserve">Als deze vertraging niet meer binnen de looptijd van de HVF kan worden gemitigeerd </w:t>
      </w:r>
      <w:r w:rsidR="009D2432">
        <w:t>dan worden deze</w:t>
      </w:r>
      <w:r w:rsidR="002E5EC3">
        <w:t xml:space="preserve"> </w:t>
      </w:r>
      <w:r w:rsidR="00236AA6">
        <w:t xml:space="preserve">vertraagde mijlpalen en doelstellingen </w:t>
      </w:r>
      <w:r w:rsidR="00C96FDE">
        <w:t xml:space="preserve">indien mogelijk </w:t>
      </w:r>
      <w:r w:rsidR="002E5EC3">
        <w:t xml:space="preserve">betrokken bij </w:t>
      </w:r>
      <w:r w:rsidR="004F39AD">
        <w:t>een</w:t>
      </w:r>
      <w:r w:rsidR="002E5EC3">
        <w:t xml:space="preserve"> </w:t>
      </w:r>
      <w:r w:rsidR="00880BCB">
        <w:t>wijzig</w:t>
      </w:r>
      <w:r w:rsidR="00271037">
        <w:t>i</w:t>
      </w:r>
      <w:r w:rsidR="00880BCB">
        <w:t>ngsverzoek</w:t>
      </w:r>
      <w:r w:rsidR="000520A0">
        <w:t>.</w:t>
      </w:r>
    </w:p>
    <w:p w:rsidR="005757C4" w:rsidP="00CE170C" w:rsidRDefault="005757C4" w14:paraId="73B0EBB4" w14:textId="77777777"/>
    <w:p w:rsidR="00020C80" w:rsidP="00D5014B" w:rsidRDefault="00D5014B" w14:paraId="7A0DC97B" w14:textId="77777777">
      <w:r>
        <w:t>Het vijfde betaalverzoek bevat twee mijlpalen over de Wet BAZ. Gezien de status van het wetgevingstraject van de Wet BAZ is er een aanzienlijk risico dat deze mijlpalen niet voor het eind van augustus 2026 zullen zijn behaald.</w:t>
      </w:r>
      <w:r>
        <w:rPr>
          <w:rStyle w:val="Voetnootmarkering"/>
        </w:rPr>
        <w:footnoteReference w:id="11"/>
      </w:r>
      <w:r>
        <w:t xml:space="preserve"> Daarom is </w:t>
      </w:r>
      <w:r>
        <w:lastRenderedPageBreak/>
        <w:t>de mijlpaal die ziet op de publicatie van de wet BAZ al met het vorige wijzigingsverzoek van het derde naar het vijfde betaalverzoek verplaatst.</w:t>
      </w:r>
      <w:r>
        <w:rPr>
          <w:rStyle w:val="Voetnootmarkering"/>
        </w:rPr>
        <w:footnoteReference w:id="12"/>
      </w:r>
      <w:r>
        <w:t xml:space="preserve"> </w:t>
      </w:r>
    </w:p>
    <w:p w:rsidR="00D5014B" w:rsidP="00D5014B" w:rsidRDefault="00D5014B" w14:paraId="7AB42F7F" w14:textId="7714F527">
      <w:r>
        <w:t>Uw Kamer is regelmatig geïnformeerd over de voortgang van dit wetsvoorstel</w:t>
      </w:r>
      <w:r w:rsidR="00E85FCA">
        <w:t xml:space="preserve">, </w:t>
      </w:r>
      <w:r>
        <w:t xml:space="preserve">voor het laatst op 15 september </w:t>
      </w:r>
      <w:proofErr w:type="spellStart"/>
      <w:r>
        <w:t>j.l</w:t>
      </w:r>
      <w:proofErr w:type="spellEnd"/>
      <w:r>
        <w:t>.</w:t>
      </w:r>
      <w:r>
        <w:rPr>
          <w:rStyle w:val="Voetnootmarkering"/>
        </w:rPr>
        <w:footnoteReference w:id="13"/>
      </w:r>
      <w:r>
        <w:t xml:space="preserve"> Het wetsvoorstel ligt op dit moment voor advies bij de Afdeling advisering van de Raad van State. Na deze beoordeling zal het kabinet het wetsvoorstel zo snel mogelijk aan uw Kamer aanbieden. Vervolgens hoopt het kabinet het wetsvoorstel in samenwerking met uw Kamer zo spoedig mogelijk te kunnen behandelen.  </w:t>
      </w:r>
    </w:p>
    <w:p w:rsidR="00192925" w:rsidP="00192925" w:rsidRDefault="00192925" w14:paraId="6D8F17AA" w14:textId="77777777"/>
    <w:p w:rsidR="00192925" w:rsidP="00CE170C" w:rsidRDefault="00DD357F" w14:paraId="258BD0C4" w14:textId="77777777">
      <w:r>
        <w:t>H</w:t>
      </w:r>
      <w:r w:rsidR="00E85FCA">
        <w:t>et vierde en vijfde betaalverzoek</w:t>
      </w:r>
      <w:r>
        <w:t xml:space="preserve"> bevat</w:t>
      </w:r>
      <w:r w:rsidR="005A1907">
        <w:t>ten</w:t>
      </w:r>
      <w:r>
        <w:t xml:space="preserve"> ook twee </w:t>
      </w:r>
      <w:r w:rsidR="00E85FCA">
        <w:t>pensioenmijlpalen</w:t>
      </w:r>
      <w:r>
        <w:t xml:space="preserve">. </w:t>
      </w:r>
      <w:r w:rsidR="00565867">
        <w:t xml:space="preserve">Eerder </w:t>
      </w:r>
      <w:r w:rsidR="00E85FCA">
        <w:t>heb ik</w:t>
      </w:r>
      <w:r w:rsidRPr="004C1F7A" w:rsidR="00E85FCA">
        <w:t xml:space="preserve"> uw Kamer </w:t>
      </w:r>
      <w:r w:rsidR="00565867">
        <w:t xml:space="preserve">toegezegd de Kamer </w:t>
      </w:r>
      <w:r w:rsidRPr="004C1F7A" w:rsidR="00E85FCA">
        <w:t xml:space="preserve">nader te informeren over het risico dat </w:t>
      </w:r>
      <w:r w:rsidR="006C7B04">
        <w:t xml:space="preserve">het </w:t>
      </w:r>
      <w:r w:rsidRPr="004C1F7A" w:rsidR="00E85FCA">
        <w:t>amendement Joseph c.s</w:t>
      </w:r>
      <w:r w:rsidR="00565867">
        <w:t xml:space="preserve">. </w:t>
      </w:r>
      <w:proofErr w:type="gramStart"/>
      <w:r w:rsidR="00565867">
        <w:t>er toe</w:t>
      </w:r>
      <w:proofErr w:type="gramEnd"/>
      <w:r w:rsidR="00565867">
        <w:t xml:space="preserve"> zou leiden dat behaalde </w:t>
      </w:r>
      <w:r w:rsidRPr="004C1F7A" w:rsidR="00565867">
        <w:t xml:space="preserve">pensioenmijlpalen zouden </w:t>
      </w:r>
      <w:r w:rsidR="00565867">
        <w:t xml:space="preserve">moeten </w:t>
      </w:r>
      <w:r w:rsidRPr="004C1F7A" w:rsidR="00565867">
        <w:t>worden teruggedraaid</w:t>
      </w:r>
      <w:r w:rsidRPr="004C1F7A" w:rsidR="00E85FCA">
        <w:t>.</w:t>
      </w:r>
      <w:r w:rsidR="00E85FCA">
        <w:rPr>
          <w:rStyle w:val="Voetnootmarkering"/>
        </w:rPr>
        <w:footnoteReference w:id="14"/>
      </w:r>
      <w:r w:rsidRPr="004C1F7A" w:rsidR="00E85FCA">
        <w:t xml:space="preserve"> Met het verwerpen van het amendement is van dit risico niet langer sprake.</w:t>
      </w:r>
      <w:r w:rsidR="00E85FCA">
        <w:t xml:space="preserve"> Over de relatie tussen de pensioenhervorming en het HVP is uw Kamer </w:t>
      </w:r>
      <w:r w:rsidR="004F39AD">
        <w:t xml:space="preserve">eerder </w:t>
      </w:r>
      <w:r w:rsidR="00E85FCA">
        <w:t>geïnformeerd.</w:t>
      </w:r>
      <w:r w:rsidR="00E85FCA">
        <w:rPr>
          <w:rStyle w:val="Voetnootmarkering"/>
        </w:rPr>
        <w:footnoteReference w:id="15"/>
      </w:r>
      <w:r w:rsidR="00E85FCA">
        <w:t xml:space="preserve"> </w:t>
      </w:r>
      <w:r w:rsidR="00D71751">
        <w:t xml:space="preserve">Door de verplaatsing van de Wet </w:t>
      </w:r>
      <w:proofErr w:type="spellStart"/>
      <w:r w:rsidR="00D71751">
        <w:t>Vbar</w:t>
      </w:r>
      <w:proofErr w:type="spellEnd"/>
      <w:r w:rsidR="00D71751">
        <w:t xml:space="preserve"> en Wet Regie naar het vijfde betaalverzoek neemt de omvang en waarde van het vijfde betaalverzoek toe. Om</w:t>
      </w:r>
      <w:r w:rsidRPr="00BA11F4" w:rsidR="00192925">
        <w:t xml:space="preserve"> de </w:t>
      </w:r>
      <w:r w:rsidR="00D71751">
        <w:t xml:space="preserve">waarde van </w:t>
      </w:r>
      <w:r w:rsidR="00565867">
        <w:t xml:space="preserve">het vierde en vijfde </w:t>
      </w:r>
      <w:r w:rsidR="00D71751">
        <w:t>betaalverzoek</w:t>
      </w:r>
      <w:r w:rsidR="00565867">
        <w:t xml:space="preserve"> onderling</w:t>
      </w:r>
      <w:r w:rsidR="00D71751">
        <w:t xml:space="preserve"> beter te balanceren </w:t>
      </w:r>
      <w:r w:rsidRPr="00BA11F4" w:rsidR="00192925">
        <w:t xml:space="preserve">wordt de laatste mijlpaal van de pensioenhervorming </w:t>
      </w:r>
      <w:r w:rsidR="00192925">
        <w:t xml:space="preserve">van het vijfde </w:t>
      </w:r>
      <w:r w:rsidRPr="00BA11F4" w:rsidR="00192925">
        <w:t>naar het vierde betaalverzoek verplaatst. D</w:t>
      </w:r>
      <w:r w:rsidR="00565867">
        <w:t xml:space="preserve">eze verplaatsing </w:t>
      </w:r>
      <w:r w:rsidRPr="00BA11F4" w:rsidR="00192925">
        <w:t xml:space="preserve">heeft geen effect op </w:t>
      </w:r>
      <w:r w:rsidR="00D71751">
        <w:t xml:space="preserve">de inhoud of </w:t>
      </w:r>
      <w:r w:rsidR="00565867">
        <w:t xml:space="preserve">op </w:t>
      </w:r>
      <w:r w:rsidRPr="00BA11F4" w:rsidR="00192925">
        <w:t xml:space="preserve">het </w:t>
      </w:r>
      <w:r w:rsidR="00192925">
        <w:t xml:space="preserve">behalen van de pensioenmijlpalen </w:t>
      </w:r>
      <w:r w:rsidR="00565867">
        <w:t>in</w:t>
      </w:r>
      <w:r w:rsidR="00192925">
        <w:t xml:space="preserve"> het HVP.</w:t>
      </w:r>
    </w:p>
    <w:p w:rsidR="00271037" w:rsidRDefault="00271037" w14:paraId="7FD4BA5A" w14:textId="77777777">
      <w:pPr>
        <w:rPr>
          <w:b/>
          <w:bCs/>
        </w:rPr>
      </w:pPr>
    </w:p>
    <w:p w:rsidR="00D03F3C" w:rsidRDefault="00CE170C" w14:paraId="1EFE1605" w14:textId="77777777">
      <w:pPr>
        <w:rPr>
          <w:b/>
          <w:bCs/>
        </w:rPr>
      </w:pPr>
      <w:r>
        <w:rPr>
          <w:b/>
          <w:bCs/>
        </w:rPr>
        <w:t>Top 100 eindontvangers</w:t>
      </w:r>
    </w:p>
    <w:p w:rsidRPr="005757C4" w:rsidR="005757C4" w:rsidRDefault="00D03F3C" w14:paraId="4BC2D893" w14:textId="654F4CE7">
      <w:r w:rsidRPr="00D03F3C">
        <w:t>De HVF-verordening vereist elk half jaar de actualisatie van de gegevens van de top 100 grootste eindontvangers</w:t>
      </w:r>
      <w:r w:rsidR="008A1259">
        <w:t xml:space="preserve"> van Nederlandse HVP-middelen</w:t>
      </w:r>
      <w:r w:rsidRPr="00D03F3C">
        <w:t>.</w:t>
      </w:r>
      <w:r>
        <w:rPr>
          <w:rStyle w:val="Voetnootmarkering"/>
        </w:rPr>
        <w:footnoteReference w:id="16"/>
      </w:r>
      <w:r w:rsidRPr="00D03F3C">
        <w:t xml:space="preserve"> De huidige rangschikking van de top</w:t>
      </w:r>
      <w:r w:rsidR="008A1259">
        <w:t xml:space="preserve"> </w:t>
      </w:r>
      <w:r w:rsidRPr="00D03F3C">
        <w:t>100 eindontvangers is bepaald op basis van gerealiseerde overboekingen van HVP</w:t>
      </w:r>
      <w:r>
        <w:t>-</w:t>
      </w:r>
      <w:r w:rsidRPr="00D03F3C">
        <w:t xml:space="preserve">middelen tot en met de gehanteerde peildatum van </w:t>
      </w:r>
      <w:r>
        <w:t>2</w:t>
      </w:r>
      <w:r w:rsidR="009307B8">
        <w:t>6</w:t>
      </w:r>
      <w:r>
        <w:t xml:space="preserve"> april 2025</w:t>
      </w:r>
      <w:r w:rsidRPr="00D03F3C">
        <w:t xml:space="preserve">. </w:t>
      </w:r>
      <w:r w:rsidR="000B5619">
        <w:t>H</w:t>
      </w:r>
      <w:r w:rsidRPr="00D03F3C">
        <w:t>et kabinet</w:t>
      </w:r>
      <w:r w:rsidR="000B5619">
        <w:t xml:space="preserve"> heeft</w:t>
      </w:r>
      <w:r w:rsidRPr="00D03F3C">
        <w:t xml:space="preserve"> de gegevens van de</w:t>
      </w:r>
      <w:r w:rsidR="008A1259">
        <w:t>ze</w:t>
      </w:r>
      <w:r w:rsidRPr="00D03F3C">
        <w:t xml:space="preserve"> honderd grootste eindontvangers</w:t>
      </w:r>
      <w:r w:rsidR="000B5619">
        <w:t xml:space="preserve"> in oktober</w:t>
      </w:r>
      <w:r w:rsidRPr="00D03F3C">
        <w:t xml:space="preserve"> op rijksoverheid.nl</w:t>
      </w:r>
      <w:r w:rsidR="000B5619">
        <w:t xml:space="preserve"> gepubliceerd</w:t>
      </w:r>
      <w:r w:rsidRPr="00D03F3C">
        <w:t>.</w:t>
      </w:r>
    </w:p>
    <w:p w:rsidR="005757C4" w:rsidRDefault="005757C4" w14:paraId="220B8C27" w14:textId="77777777">
      <w:pPr>
        <w:rPr>
          <w:b/>
          <w:bCs/>
        </w:rPr>
      </w:pPr>
    </w:p>
    <w:p w:rsidR="005757C4" w:rsidRDefault="005757C4" w14:paraId="540BAD25" w14:textId="77777777">
      <w:pPr>
        <w:rPr>
          <w:b/>
          <w:bCs/>
        </w:rPr>
      </w:pPr>
    </w:p>
    <w:p w:rsidR="005757C4" w:rsidRDefault="005757C4" w14:paraId="5B09DD6E" w14:textId="77777777">
      <w:pPr>
        <w:rPr>
          <w:b/>
          <w:bCs/>
        </w:rPr>
      </w:pPr>
    </w:p>
    <w:p w:rsidR="005757C4" w:rsidRDefault="005757C4" w14:paraId="774759E6" w14:textId="77777777">
      <w:pPr>
        <w:rPr>
          <w:b/>
          <w:bCs/>
        </w:rPr>
      </w:pPr>
    </w:p>
    <w:p w:rsidR="005757C4" w:rsidRDefault="005757C4" w14:paraId="3EFD608E" w14:textId="77777777">
      <w:pPr>
        <w:rPr>
          <w:b/>
          <w:bCs/>
        </w:rPr>
      </w:pPr>
    </w:p>
    <w:p w:rsidR="005757C4" w:rsidRDefault="005757C4" w14:paraId="2C5EE297" w14:textId="77777777">
      <w:pPr>
        <w:rPr>
          <w:b/>
          <w:bCs/>
        </w:rPr>
      </w:pPr>
    </w:p>
    <w:p w:rsidR="005757C4" w:rsidRDefault="005757C4" w14:paraId="3A277D5E" w14:textId="77777777">
      <w:pPr>
        <w:rPr>
          <w:b/>
          <w:bCs/>
        </w:rPr>
      </w:pPr>
    </w:p>
    <w:p w:rsidR="005757C4" w:rsidRDefault="005757C4" w14:paraId="0386B8B4" w14:textId="77777777">
      <w:pPr>
        <w:rPr>
          <w:b/>
          <w:bCs/>
        </w:rPr>
      </w:pPr>
    </w:p>
    <w:p w:rsidR="005757C4" w:rsidRDefault="005757C4" w14:paraId="5DB2B659" w14:textId="77777777">
      <w:pPr>
        <w:rPr>
          <w:b/>
          <w:bCs/>
        </w:rPr>
      </w:pPr>
    </w:p>
    <w:p w:rsidR="005757C4" w:rsidRDefault="005757C4" w14:paraId="22462115" w14:textId="77777777">
      <w:pPr>
        <w:rPr>
          <w:b/>
          <w:bCs/>
        </w:rPr>
      </w:pPr>
    </w:p>
    <w:p w:rsidR="005757C4" w:rsidRDefault="005757C4" w14:paraId="196FB03B" w14:textId="77777777">
      <w:pPr>
        <w:rPr>
          <w:b/>
          <w:bCs/>
        </w:rPr>
      </w:pPr>
    </w:p>
    <w:p w:rsidR="005757C4" w:rsidRDefault="005757C4" w14:paraId="65D4A3A3" w14:textId="77777777">
      <w:pPr>
        <w:rPr>
          <w:b/>
          <w:bCs/>
        </w:rPr>
      </w:pPr>
    </w:p>
    <w:p w:rsidR="005757C4" w:rsidRDefault="005757C4" w14:paraId="10880D11" w14:textId="77777777">
      <w:pPr>
        <w:rPr>
          <w:b/>
          <w:bCs/>
        </w:rPr>
      </w:pPr>
    </w:p>
    <w:p w:rsidR="005757C4" w:rsidRDefault="005757C4" w14:paraId="546919D6" w14:textId="77777777">
      <w:pPr>
        <w:rPr>
          <w:b/>
          <w:bCs/>
        </w:rPr>
      </w:pPr>
    </w:p>
    <w:p w:rsidR="005757C4" w:rsidRDefault="005757C4" w14:paraId="2C051225" w14:textId="77777777">
      <w:pPr>
        <w:rPr>
          <w:b/>
          <w:bCs/>
        </w:rPr>
      </w:pPr>
    </w:p>
    <w:p w:rsidR="005757C4" w:rsidRDefault="005757C4" w14:paraId="66154554" w14:textId="77777777">
      <w:pPr>
        <w:rPr>
          <w:b/>
          <w:bCs/>
        </w:rPr>
      </w:pPr>
    </w:p>
    <w:p w:rsidR="00962D1F" w:rsidRDefault="00962D1F" w14:paraId="3FE4B7D0" w14:textId="0CFB5C2B">
      <w:pPr>
        <w:rPr>
          <w:b/>
          <w:bCs/>
        </w:rPr>
      </w:pPr>
      <w:r>
        <w:rPr>
          <w:b/>
          <w:bCs/>
        </w:rPr>
        <w:lastRenderedPageBreak/>
        <w:t>Tot slot</w:t>
      </w:r>
    </w:p>
    <w:p w:rsidR="00593447" w:rsidRDefault="0C72C571" w14:paraId="446C899E" w14:textId="77777777">
      <w:r>
        <w:t>Ik hoop u met deze brief voldoende te hebben geïnformeerd over de voortgang van de mijlpalen en doelstellingen binnen het HVP, het wijzigingsverzo</w:t>
      </w:r>
      <w:r w:rsidRPr="004C4623">
        <w:t>ek, de indiening van het derde betaalverzoek, en de rapportage</w:t>
      </w:r>
      <w:r>
        <w:t xml:space="preserve"> over de top 100 eindontvangers. Ik heb genoemd welke knelpunten er zijn en de mogelijke financiële consequenties die deze kunnen hebben. Het kabinet zet zich in voor een goede samenwerking met uw Kamer om een korting te voorkomen.</w:t>
      </w:r>
    </w:p>
    <w:p w:rsidR="00962D1F" w:rsidRDefault="00962D1F" w14:paraId="12E85130" w14:textId="77777777"/>
    <w:p w:rsidRPr="005A0DD2" w:rsidR="005A0DD2" w:rsidRDefault="00593447" w14:paraId="757F494B" w14:textId="77777777">
      <w:pPr>
        <w:rPr>
          <w:b/>
          <w:bCs/>
        </w:rPr>
      </w:pPr>
      <w:r w:rsidRPr="00593447">
        <w:t>Ik blijf samen met mijn verantwoordelijke collega’s in het kabinet uiterst</w:t>
      </w:r>
      <w:r w:rsidRPr="00593447">
        <w:rPr>
          <w:b/>
          <w:bCs/>
        </w:rPr>
        <w:t xml:space="preserve"> </w:t>
      </w:r>
      <w:r w:rsidRPr="00593447">
        <w:t>gemotiveerd om het HVP</w:t>
      </w:r>
      <w:r w:rsidRPr="00593447">
        <w:rPr>
          <w:b/>
          <w:bCs/>
        </w:rPr>
        <w:t xml:space="preserve"> </w:t>
      </w:r>
      <w:r w:rsidRPr="00593447">
        <w:t>succesvol te implementeren en daarmee de gealloceerde € 5,4 miljard aan Europese middelen binnen te halen.</w:t>
      </w:r>
      <w:r w:rsidR="00EF797B">
        <w:t xml:space="preserve"> </w:t>
      </w:r>
    </w:p>
    <w:p w:rsidR="00E36A8D" w:rsidRDefault="001305A5" w14:paraId="2F2BBE8E" w14:textId="77777777">
      <w:pPr>
        <w:pStyle w:val="StandaardSlotzin"/>
      </w:pPr>
      <w:r>
        <w:t>Hoogachtend,</w:t>
      </w:r>
    </w:p>
    <w:tbl>
      <w:tblPr>
        <w:tblStyle w:val="Tabelzonderranden"/>
        <w:tblW w:w="7484" w:type="dxa"/>
        <w:tblInd w:w="0" w:type="dxa"/>
        <w:tblLayout w:type="fixed"/>
        <w:tblLook w:val="07E0" w:firstRow="1" w:lastRow="1" w:firstColumn="1" w:lastColumn="1" w:noHBand="1" w:noVBand="1"/>
      </w:tblPr>
      <w:tblGrid>
        <w:gridCol w:w="3592"/>
        <w:gridCol w:w="3892"/>
      </w:tblGrid>
      <w:tr w:rsidR="00E36A8D" w14:paraId="38CAE49A" w14:textId="77777777">
        <w:tc>
          <w:tcPr>
            <w:tcW w:w="3592" w:type="dxa"/>
          </w:tcPr>
          <w:p w:rsidR="00136C9E" w:rsidRDefault="00136C9E" w14:paraId="7633DD57" w14:textId="77777777"/>
          <w:p w:rsidR="00136C9E" w:rsidRDefault="001305A5" w14:paraId="4C76E558" w14:textId="77777777">
            <w:proofErr w:type="gramStart"/>
            <w:r>
              <w:t>de</w:t>
            </w:r>
            <w:proofErr w:type="gramEnd"/>
            <w:r>
              <w:t xml:space="preserve"> minister van Financiën,</w:t>
            </w:r>
            <w:r>
              <w:br/>
            </w:r>
          </w:p>
          <w:p w:rsidR="00136C9E" w:rsidRDefault="00136C9E" w14:paraId="7B5C54A3" w14:textId="77777777"/>
          <w:p w:rsidR="00E36A8D" w:rsidRDefault="001305A5" w14:paraId="1A417DBA" w14:textId="084933FE">
            <w:r>
              <w:br/>
            </w:r>
            <w:r>
              <w:br/>
              <w:t>E. Heinen</w:t>
            </w:r>
          </w:p>
        </w:tc>
        <w:tc>
          <w:tcPr>
            <w:tcW w:w="3892" w:type="dxa"/>
          </w:tcPr>
          <w:p w:rsidR="00E36A8D" w:rsidRDefault="00E36A8D" w14:paraId="5D80FF31" w14:textId="77777777"/>
        </w:tc>
      </w:tr>
      <w:tr w:rsidR="00E36A8D" w14:paraId="19EE3DFF" w14:textId="77777777">
        <w:tc>
          <w:tcPr>
            <w:tcW w:w="3592" w:type="dxa"/>
          </w:tcPr>
          <w:p w:rsidR="00E36A8D" w:rsidRDefault="00E36A8D" w14:paraId="5AB0ADB4" w14:textId="77777777"/>
        </w:tc>
        <w:tc>
          <w:tcPr>
            <w:tcW w:w="3892" w:type="dxa"/>
          </w:tcPr>
          <w:p w:rsidR="00E36A8D" w:rsidRDefault="00E36A8D" w14:paraId="4704B05A" w14:textId="77777777"/>
        </w:tc>
      </w:tr>
      <w:tr w:rsidR="00E36A8D" w14:paraId="15DEED2A" w14:textId="77777777">
        <w:tc>
          <w:tcPr>
            <w:tcW w:w="3592" w:type="dxa"/>
          </w:tcPr>
          <w:p w:rsidR="00E36A8D" w:rsidRDefault="00E36A8D" w14:paraId="63CD162F" w14:textId="77777777"/>
        </w:tc>
        <w:tc>
          <w:tcPr>
            <w:tcW w:w="3892" w:type="dxa"/>
          </w:tcPr>
          <w:p w:rsidR="00E36A8D" w:rsidRDefault="00E36A8D" w14:paraId="4DD8EBE7" w14:textId="77777777"/>
        </w:tc>
      </w:tr>
    </w:tbl>
    <w:p w:rsidR="00E36A8D" w:rsidP="00136C9E" w:rsidRDefault="00E36A8D" w14:paraId="243D1B7B" w14:textId="77777777">
      <w:pPr>
        <w:pStyle w:val="Verdana7"/>
      </w:pPr>
    </w:p>
    <w:sectPr w:rsidR="00E36A8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8ADC" w14:textId="77777777" w:rsidR="006A34D7" w:rsidRDefault="006A34D7">
      <w:pPr>
        <w:spacing w:line="240" w:lineRule="auto"/>
      </w:pPr>
      <w:r>
        <w:separator/>
      </w:r>
    </w:p>
  </w:endnote>
  <w:endnote w:type="continuationSeparator" w:id="0">
    <w:p w14:paraId="6F901870" w14:textId="77777777" w:rsidR="006A34D7" w:rsidRDefault="006A3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BC74" w14:textId="77777777" w:rsidR="006A34D7" w:rsidRDefault="006A34D7">
      <w:pPr>
        <w:spacing w:line="240" w:lineRule="auto"/>
      </w:pPr>
      <w:r>
        <w:separator/>
      </w:r>
    </w:p>
  </w:footnote>
  <w:footnote w:type="continuationSeparator" w:id="0">
    <w:p w14:paraId="072EAEAE" w14:textId="77777777" w:rsidR="006A34D7" w:rsidRDefault="006A34D7">
      <w:pPr>
        <w:spacing w:line="240" w:lineRule="auto"/>
      </w:pPr>
      <w:r>
        <w:continuationSeparator/>
      </w:r>
    </w:p>
  </w:footnote>
  <w:footnote w:id="1">
    <w:p w14:paraId="6EAAB1DB" w14:textId="77777777" w:rsidR="001E4EEE" w:rsidRPr="001E4EEE" w:rsidRDefault="001E4EEE" w:rsidP="001E4EEE">
      <w:pPr>
        <w:pStyle w:val="Voetnoottekst"/>
        <w:rPr>
          <w:sz w:val="16"/>
          <w:szCs w:val="16"/>
        </w:rPr>
      </w:pPr>
      <w:r>
        <w:rPr>
          <w:rStyle w:val="Voetnootmarkering"/>
        </w:rPr>
        <w:footnoteRef/>
      </w:r>
      <w:r>
        <w:t xml:space="preserve">  </w:t>
      </w:r>
      <w:r w:rsidRPr="001E4EEE">
        <w:rPr>
          <w:sz w:val="16"/>
          <w:szCs w:val="16"/>
        </w:rPr>
        <w:t>Artikel 27 van de Verordening (EU) 2021/241 van het Europees Parlement en de Raad van 12 februari 2021 tot instelling van de herstel- en veerkrachtfaciliteit.</w:t>
      </w:r>
    </w:p>
  </w:footnote>
  <w:footnote w:id="2">
    <w:p w14:paraId="2575FF71" w14:textId="77777777" w:rsidR="00B062D8" w:rsidRDefault="00B062D8" w:rsidP="00B062D8">
      <w:pPr>
        <w:pStyle w:val="Voetnoottekst"/>
      </w:pPr>
      <w:r>
        <w:rPr>
          <w:rStyle w:val="Voetnootmarkering"/>
        </w:rPr>
        <w:footnoteRef/>
      </w:r>
      <w:r>
        <w:t xml:space="preserve"> </w:t>
      </w:r>
      <w:r w:rsidRPr="00563EE6">
        <w:rPr>
          <w:sz w:val="16"/>
          <w:szCs w:val="16"/>
        </w:rPr>
        <w:t xml:space="preserve">Zie </w:t>
      </w:r>
      <w:proofErr w:type="gramStart"/>
      <w:r w:rsidRPr="00563EE6">
        <w:rPr>
          <w:sz w:val="16"/>
          <w:szCs w:val="16"/>
        </w:rPr>
        <w:t xml:space="preserve">Kamerstukken:  </w:t>
      </w:r>
      <w:r>
        <w:rPr>
          <w:sz w:val="16"/>
          <w:szCs w:val="16"/>
        </w:rPr>
        <w:t>Kamerstuk</w:t>
      </w:r>
      <w:proofErr w:type="gramEnd"/>
      <w:r>
        <w:rPr>
          <w:sz w:val="16"/>
          <w:szCs w:val="16"/>
        </w:rPr>
        <w:t xml:space="preserve"> II </w:t>
      </w:r>
      <w:r w:rsidRPr="00B062D8">
        <w:rPr>
          <w:sz w:val="16"/>
          <w:szCs w:val="16"/>
        </w:rPr>
        <w:t>21501-07</w:t>
      </w:r>
      <w:r>
        <w:rPr>
          <w:sz w:val="16"/>
          <w:szCs w:val="16"/>
        </w:rPr>
        <w:t xml:space="preserve">, </w:t>
      </w:r>
      <w:proofErr w:type="spellStart"/>
      <w:r>
        <w:rPr>
          <w:sz w:val="16"/>
          <w:szCs w:val="16"/>
        </w:rPr>
        <w:t>nr</w:t>
      </w:r>
      <w:proofErr w:type="spellEnd"/>
      <w:r>
        <w:rPr>
          <w:sz w:val="16"/>
          <w:szCs w:val="16"/>
        </w:rPr>
        <w:t xml:space="preserve"> , </w:t>
      </w:r>
      <w:r w:rsidRPr="00B062D8">
        <w:rPr>
          <w:sz w:val="16"/>
          <w:szCs w:val="16"/>
        </w:rPr>
        <w:t>2121</w:t>
      </w:r>
      <w:r>
        <w:rPr>
          <w:sz w:val="16"/>
          <w:szCs w:val="16"/>
        </w:rPr>
        <w:t xml:space="preserve"> Kamerstuk II </w:t>
      </w:r>
      <w:r w:rsidRPr="00461668">
        <w:rPr>
          <w:sz w:val="16"/>
          <w:szCs w:val="16"/>
        </w:rPr>
        <w:t>21501-07</w:t>
      </w:r>
      <w:r>
        <w:rPr>
          <w:sz w:val="16"/>
          <w:szCs w:val="16"/>
        </w:rPr>
        <w:t xml:space="preserve"> </w:t>
      </w:r>
      <w:proofErr w:type="spellStart"/>
      <w:r>
        <w:rPr>
          <w:sz w:val="16"/>
          <w:szCs w:val="16"/>
        </w:rPr>
        <w:t>nr</w:t>
      </w:r>
      <w:proofErr w:type="spellEnd"/>
      <w:r>
        <w:rPr>
          <w:sz w:val="16"/>
          <w:szCs w:val="16"/>
        </w:rPr>
        <w:t xml:space="preserve">, </w:t>
      </w:r>
      <w:r w:rsidRPr="00461668">
        <w:rPr>
          <w:sz w:val="16"/>
          <w:szCs w:val="16"/>
        </w:rPr>
        <w:t xml:space="preserve">2107 </w:t>
      </w:r>
      <w:r w:rsidRPr="00563EE6">
        <w:rPr>
          <w:sz w:val="16"/>
          <w:szCs w:val="16"/>
        </w:rPr>
        <w:t xml:space="preserve">Kamerstuk II 21 501 07, </w:t>
      </w:r>
      <w:proofErr w:type="spellStart"/>
      <w:r w:rsidRPr="00563EE6">
        <w:rPr>
          <w:sz w:val="16"/>
          <w:szCs w:val="16"/>
        </w:rPr>
        <w:t>nr</w:t>
      </w:r>
      <w:proofErr w:type="spellEnd"/>
      <w:r w:rsidRPr="00563EE6">
        <w:rPr>
          <w:sz w:val="16"/>
          <w:szCs w:val="16"/>
        </w:rPr>
        <w:t xml:space="preserve"> 2064 &amp; Kamerstuk II 21 501 07, </w:t>
      </w:r>
      <w:proofErr w:type="spellStart"/>
      <w:r w:rsidRPr="00563EE6">
        <w:rPr>
          <w:sz w:val="16"/>
          <w:szCs w:val="16"/>
        </w:rPr>
        <w:t>nr</w:t>
      </w:r>
      <w:proofErr w:type="spellEnd"/>
      <w:r w:rsidRPr="00563EE6">
        <w:rPr>
          <w:sz w:val="16"/>
          <w:szCs w:val="16"/>
        </w:rPr>
        <w:t xml:space="preserve"> 2093</w:t>
      </w:r>
    </w:p>
  </w:footnote>
  <w:footnote w:id="3">
    <w:p w14:paraId="3AD566A5" w14:textId="77777777" w:rsidR="0028253B" w:rsidRPr="00563EE6" w:rsidRDefault="0028253B" w:rsidP="0028253B">
      <w:pPr>
        <w:pStyle w:val="Voetnoottekst"/>
      </w:pPr>
      <w:r>
        <w:rPr>
          <w:rStyle w:val="Voetnootmarkering"/>
        </w:rPr>
        <w:footnoteRef/>
      </w:r>
      <w:r w:rsidRPr="00563EE6">
        <w:t xml:space="preserve"> </w:t>
      </w:r>
      <w:hyperlink r:id="rId1" w:history="1">
        <w:r w:rsidRPr="00563EE6">
          <w:rPr>
            <w:rStyle w:val="Hyperlink"/>
            <w:sz w:val="16"/>
            <w:szCs w:val="16"/>
          </w:rPr>
          <w:t xml:space="preserve">Communication The Road </w:t>
        </w:r>
        <w:proofErr w:type="spellStart"/>
        <w:r w:rsidRPr="00563EE6">
          <w:rPr>
            <w:rStyle w:val="Hyperlink"/>
            <w:sz w:val="16"/>
            <w:szCs w:val="16"/>
          </w:rPr>
          <w:t>to</w:t>
        </w:r>
        <w:proofErr w:type="spellEnd"/>
        <w:r w:rsidRPr="00563EE6">
          <w:rPr>
            <w:rStyle w:val="Hyperlink"/>
            <w:sz w:val="16"/>
            <w:szCs w:val="16"/>
          </w:rPr>
          <w:t xml:space="preserve"> 2026</w:t>
        </w:r>
      </w:hyperlink>
    </w:p>
  </w:footnote>
  <w:footnote w:id="4">
    <w:p w14:paraId="27CFA48E" w14:textId="77777777" w:rsidR="0028253B" w:rsidRPr="00B40085" w:rsidRDefault="0028253B" w:rsidP="0028253B">
      <w:pPr>
        <w:pStyle w:val="Voetnoottekst"/>
        <w:rPr>
          <w:sz w:val="16"/>
          <w:szCs w:val="16"/>
        </w:rPr>
      </w:pPr>
      <w:r w:rsidRPr="002157F0">
        <w:rPr>
          <w:rStyle w:val="Voetnootmarkering"/>
        </w:rPr>
        <w:footnoteRef/>
      </w:r>
      <w:r>
        <w:rPr>
          <w:sz w:val="16"/>
          <w:szCs w:val="16"/>
        </w:rPr>
        <w:t xml:space="preserve"> </w:t>
      </w:r>
      <w:r w:rsidRPr="00030E82">
        <w:rPr>
          <w:sz w:val="16"/>
          <w:szCs w:val="16"/>
        </w:rPr>
        <w:t>Voor een uitgebreide toelichting op deze grondslag voor wijziging, verwijs ik u naar het verslag van de Eurogroep- en Ecofinraad van juni 2024</w:t>
      </w:r>
      <w:r>
        <w:rPr>
          <w:sz w:val="16"/>
          <w:szCs w:val="16"/>
        </w:rPr>
        <w:t xml:space="preserve">: Kamerstukken II </w:t>
      </w:r>
      <w:r w:rsidRPr="00030E82">
        <w:rPr>
          <w:sz w:val="16"/>
          <w:szCs w:val="16"/>
        </w:rPr>
        <w:t>21501-07</w:t>
      </w:r>
      <w:r>
        <w:rPr>
          <w:sz w:val="16"/>
          <w:szCs w:val="16"/>
        </w:rPr>
        <w:t xml:space="preserve"> </w:t>
      </w:r>
      <w:proofErr w:type="spellStart"/>
      <w:r>
        <w:rPr>
          <w:sz w:val="16"/>
          <w:szCs w:val="16"/>
        </w:rPr>
        <w:t>nr</w:t>
      </w:r>
      <w:proofErr w:type="spellEnd"/>
      <w:r>
        <w:rPr>
          <w:sz w:val="16"/>
          <w:szCs w:val="16"/>
        </w:rPr>
        <w:t xml:space="preserve">, </w:t>
      </w:r>
      <w:r w:rsidRPr="00030E82">
        <w:rPr>
          <w:sz w:val="16"/>
          <w:szCs w:val="16"/>
        </w:rPr>
        <w:t>2053</w:t>
      </w:r>
    </w:p>
  </w:footnote>
  <w:footnote w:id="5">
    <w:p w14:paraId="63E8A28B" w14:textId="77777777" w:rsidR="00BC484A" w:rsidRDefault="00BC484A" w:rsidP="00BC484A">
      <w:pPr>
        <w:pStyle w:val="Voetnoottekst"/>
      </w:pPr>
      <w:r>
        <w:rPr>
          <w:rStyle w:val="Voetnootmarkering"/>
        </w:rPr>
        <w:footnoteRef/>
      </w:r>
      <w:r>
        <w:t xml:space="preserve"> </w:t>
      </w:r>
      <w:r w:rsidRPr="00331871">
        <w:rPr>
          <w:sz w:val="16"/>
          <w:szCs w:val="16"/>
        </w:rPr>
        <w:t>De wet BAZ staat al in het vijfde betaalverzoek.</w:t>
      </w:r>
    </w:p>
  </w:footnote>
  <w:footnote w:id="6">
    <w:p w14:paraId="6EB088DB" w14:textId="77777777" w:rsidR="00792328" w:rsidRPr="00EF11E3" w:rsidRDefault="00792328">
      <w:pPr>
        <w:pStyle w:val="Voetnoottekst"/>
        <w:rPr>
          <w:sz w:val="16"/>
          <w:szCs w:val="16"/>
        </w:rPr>
      </w:pPr>
      <w:r w:rsidRPr="002157F0">
        <w:rPr>
          <w:rStyle w:val="Voetnootmarkering"/>
          <w:sz w:val="18"/>
          <w:szCs w:val="18"/>
        </w:rPr>
        <w:footnoteRef/>
      </w:r>
      <w:r w:rsidRPr="00EF11E3">
        <w:rPr>
          <w:sz w:val="16"/>
          <w:szCs w:val="16"/>
        </w:rPr>
        <w:t xml:space="preserve"> Kamerstukken II </w:t>
      </w:r>
      <w:r w:rsidR="00323FBB">
        <w:rPr>
          <w:sz w:val="16"/>
          <w:szCs w:val="16"/>
        </w:rPr>
        <w:t xml:space="preserve">2024/25 </w:t>
      </w:r>
      <w:r w:rsidRPr="00EF11E3">
        <w:rPr>
          <w:sz w:val="16"/>
          <w:szCs w:val="16"/>
        </w:rPr>
        <w:t>21501-07, nr. 2093</w:t>
      </w:r>
    </w:p>
  </w:footnote>
  <w:footnote w:id="7">
    <w:p w14:paraId="057F3C03" w14:textId="77777777" w:rsidR="002E2EE0" w:rsidRDefault="002E2EE0">
      <w:pPr>
        <w:pStyle w:val="Voetnoottekst"/>
      </w:pPr>
      <w:r>
        <w:rPr>
          <w:rStyle w:val="Voetnootmarkering"/>
        </w:rPr>
        <w:footnoteRef/>
      </w:r>
      <w:r>
        <w:t xml:space="preserve"> </w:t>
      </w:r>
      <w:r>
        <w:rPr>
          <w:sz w:val="16"/>
          <w:szCs w:val="16"/>
        </w:rPr>
        <w:t>Kamerstukken II 2024/25, 36783, nr. 2</w:t>
      </w:r>
    </w:p>
  </w:footnote>
  <w:footnote w:id="8">
    <w:p w14:paraId="7D2DFBB4" w14:textId="77777777" w:rsidR="00EF11E3" w:rsidRPr="00020C80" w:rsidRDefault="00EF11E3">
      <w:pPr>
        <w:pStyle w:val="Voetnoottekst"/>
        <w:rPr>
          <w:sz w:val="16"/>
          <w:szCs w:val="16"/>
          <w:lang w:val="da-DK"/>
        </w:rPr>
      </w:pPr>
      <w:r w:rsidRPr="002157F0">
        <w:rPr>
          <w:rStyle w:val="Voetnootmarkering"/>
          <w:sz w:val="18"/>
          <w:szCs w:val="18"/>
        </w:rPr>
        <w:footnoteRef/>
      </w:r>
      <w:r w:rsidRPr="00020C80">
        <w:rPr>
          <w:sz w:val="16"/>
          <w:szCs w:val="16"/>
          <w:lang w:val="da-DK"/>
        </w:rPr>
        <w:t xml:space="preserve"> </w:t>
      </w:r>
      <w:r w:rsidRPr="00020C80">
        <w:rPr>
          <w:sz w:val="16"/>
          <w:szCs w:val="16"/>
          <w:lang w:val="da-DK"/>
        </w:rPr>
        <w:t>Kamerstukken I 2024/25, 36 512, D</w:t>
      </w:r>
    </w:p>
  </w:footnote>
  <w:footnote w:id="9">
    <w:p w14:paraId="681E2691" w14:textId="77777777" w:rsidR="00EF11E3" w:rsidRPr="00020C80" w:rsidRDefault="00EF11E3">
      <w:pPr>
        <w:pStyle w:val="Voetnoottekst"/>
        <w:rPr>
          <w:sz w:val="16"/>
          <w:szCs w:val="16"/>
          <w:lang w:val="da-DK"/>
        </w:rPr>
      </w:pPr>
      <w:r w:rsidRPr="002157F0">
        <w:rPr>
          <w:rStyle w:val="Voetnootmarkering"/>
          <w:sz w:val="18"/>
          <w:szCs w:val="18"/>
        </w:rPr>
        <w:footnoteRef/>
      </w:r>
      <w:r w:rsidRPr="00020C80">
        <w:rPr>
          <w:sz w:val="18"/>
          <w:szCs w:val="18"/>
          <w:lang w:val="da-DK"/>
        </w:rPr>
        <w:t xml:space="preserve"> </w:t>
      </w:r>
      <w:r w:rsidRPr="00020C80">
        <w:rPr>
          <w:sz w:val="16"/>
          <w:szCs w:val="16"/>
          <w:lang w:val="da-DK"/>
        </w:rPr>
        <w:t xml:space="preserve">Kamerstukken I, 2024/2025, 36 512, nr. E </w:t>
      </w:r>
    </w:p>
  </w:footnote>
  <w:footnote w:id="10">
    <w:p w14:paraId="67BA8461" w14:textId="77777777" w:rsidR="00BA405D" w:rsidRDefault="00BA405D">
      <w:pPr>
        <w:pStyle w:val="Voetnoottekst"/>
      </w:pPr>
      <w:bookmarkStart w:id="1" w:name="_Hlk211330632"/>
      <w:r>
        <w:rPr>
          <w:rStyle w:val="Voetnootmarkering"/>
        </w:rPr>
        <w:footnoteRef/>
      </w:r>
      <w:r>
        <w:t xml:space="preserve"> </w:t>
      </w:r>
      <w:r w:rsidRPr="00857E39">
        <w:rPr>
          <w:sz w:val="16"/>
          <w:szCs w:val="16"/>
        </w:rPr>
        <w:t xml:space="preserve">De Energiewet is </w:t>
      </w:r>
      <w:proofErr w:type="gramStart"/>
      <w:r w:rsidRPr="00857E39">
        <w:rPr>
          <w:sz w:val="16"/>
          <w:szCs w:val="16"/>
        </w:rPr>
        <w:t>reeds</w:t>
      </w:r>
      <w:proofErr w:type="gramEnd"/>
      <w:r w:rsidRPr="00857E39">
        <w:rPr>
          <w:sz w:val="16"/>
          <w:szCs w:val="16"/>
        </w:rPr>
        <w:t xml:space="preserve"> gepubliceerd in het </w:t>
      </w:r>
      <w:r w:rsidR="00797BA9">
        <w:rPr>
          <w:sz w:val="16"/>
          <w:szCs w:val="16"/>
        </w:rPr>
        <w:t>S</w:t>
      </w:r>
      <w:r w:rsidRPr="00857E39">
        <w:rPr>
          <w:sz w:val="16"/>
          <w:szCs w:val="16"/>
        </w:rPr>
        <w:t xml:space="preserve">taatsblad. De Wet plan van aanpak witwassen </w:t>
      </w:r>
      <w:r w:rsidR="00914AFD">
        <w:rPr>
          <w:sz w:val="16"/>
          <w:szCs w:val="16"/>
        </w:rPr>
        <w:t xml:space="preserve">is </w:t>
      </w:r>
      <w:proofErr w:type="gramStart"/>
      <w:r w:rsidR="00914AFD">
        <w:rPr>
          <w:sz w:val="16"/>
          <w:szCs w:val="16"/>
        </w:rPr>
        <w:t>reeds</w:t>
      </w:r>
      <w:proofErr w:type="gramEnd"/>
      <w:r w:rsidR="00914AFD">
        <w:rPr>
          <w:sz w:val="16"/>
          <w:szCs w:val="16"/>
        </w:rPr>
        <w:t xml:space="preserve"> gepubliceerd. Het koninklijk besluit met de datum van inwerkingtreding zal ook tijdig worden gepubliceerd.</w:t>
      </w:r>
      <w:bookmarkEnd w:id="1"/>
    </w:p>
  </w:footnote>
  <w:footnote w:id="11">
    <w:p w14:paraId="7975792B" w14:textId="77777777" w:rsidR="00D5014B" w:rsidRPr="007678A7" w:rsidRDefault="00D5014B" w:rsidP="00D5014B">
      <w:pPr>
        <w:pStyle w:val="Voetnoottekst"/>
        <w:rPr>
          <w:sz w:val="16"/>
          <w:szCs w:val="16"/>
        </w:rPr>
      </w:pPr>
      <w:r w:rsidRPr="007678A7">
        <w:rPr>
          <w:rStyle w:val="Voetnootmarkering"/>
          <w:sz w:val="16"/>
          <w:szCs w:val="16"/>
        </w:rPr>
        <w:footnoteRef/>
      </w:r>
      <w:r w:rsidRPr="007678A7">
        <w:rPr>
          <w:sz w:val="16"/>
          <w:szCs w:val="16"/>
        </w:rPr>
        <w:t xml:space="preserve"> De twee mijlpalen betreffen de publicatie van de wet in het Staatsblad en een Kamerbrief over de voortgang van implementatie.</w:t>
      </w:r>
    </w:p>
  </w:footnote>
  <w:footnote w:id="12">
    <w:p w14:paraId="2AB65119" w14:textId="77777777" w:rsidR="00D5014B" w:rsidRDefault="00D5014B" w:rsidP="00D5014B">
      <w:pPr>
        <w:pStyle w:val="Voetnoottekst"/>
      </w:pPr>
      <w:r>
        <w:rPr>
          <w:rStyle w:val="Voetnootmarkering"/>
        </w:rPr>
        <w:footnoteRef/>
      </w:r>
      <w:r>
        <w:t xml:space="preserve"> </w:t>
      </w:r>
      <w:r w:rsidRPr="00563EE6">
        <w:rPr>
          <w:sz w:val="16"/>
          <w:szCs w:val="16"/>
        </w:rPr>
        <w:t xml:space="preserve">Kamerstukken II: 21501-07, </w:t>
      </w:r>
      <w:proofErr w:type="spellStart"/>
      <w:r w:rsidRPr="00563EE6">
        <w:rPr>
          <w:sz w:val="16"/>
          <w:szCs w:val="16"/>
        </w:rPr>
        <w:t>nr</w:t>
      </w:r>
      <w:proofErr w:type="spellEnd"/>
      <w:r w:rsidRPr="00563EE6">
        <w:rPr>
          <w:sz w:val="16"/>
          <w:szCs w:val="16"/>
        </w:rPr>
        <w:t xml:space="preserve"> 2093</w:t>
      </w:r>
    </w:p>
  </w:footnote>
  <w:footnote w:id="13">
    <w:p w14:paraId="2F51E3E8" w14:textId="77777777" w:rsidR="00D5014B" w:rsidRPr="00563EE6" w:rsidRDefault="00D5014B" w:rsidP="00D5014B">
      <w:pPr>
        <w:pStyle w:val="Voetnoottekst"/>
        <w:rPr>
          <w:sz w:val="16"/>
          <w:szCs w:val="16"/>
        </w:rPr>
      </w:pPr>
      <w:r>
        <w:rPr>
          <w:rStyle w:val="Voetnootmarkering"/>
        </w:rPr>
        <w:footnoteRef/>
      </w:r>
      <w:r w:rsidRPr="00563EE6">
        <w:t xml:space="preserve"> </w:t>
      </w:r>
      <w:r w:rsidRPr="00563EE6">
        <w:rPr>
          <w:sz w:val="16"/>
          <w:szCs w:val="16"/>
        </w:rPr>
        <w:t>Kamerstukken II 2024/25, 31311, nr. 292.</w:t>
      </w:r>
    </w:p>
  </w:footnote>
  <w:footnote w:id="14">
    <w:p w14:paraId="73A0FB1E" w14:textId="77777777" w:rsidR="00E85FCA" w:rsidRDefault="00E85FCA" w:rsidP="00E85FCA">
      <w:pPr>
        <w:pStyle w:val="Voetnoottekst"/>
      </w:pPr>
      <w:r>
        <w:rPr>
          <w:rStyle w:val="Voetnootmarkering"/>
        </w:rPr>
        <w:footnoteRef/>
      </w:r>
      <w:r>
        <w:t xml:space="preserve"> </w:t>
      </w:r>
      <w:r w:rsidRPr="009D3EBB">
        <w:rPr>
          <w:sz w:val="16"/>
          <w:szCs w:val="16"/>
        </w:rPr>
        <w:t>Kamerstukken II 2024/25, 36578, nr. 17</w:t>
      </w:r>
    </w:p>
  </w:footnote>
  <w:footnote w:id="15">
    <w:p w14:paraId="01CEA4D0" w14:textId="77777777" w:rsidR="00E85FCA" w:rsidRDefault="00E85FCA" w:rsidP="00E85FCA">
      <w:pPr>
        <w:pStyle w:val="Voetnoottekst"/>
      </w:pPr>
      <w:r w:rsidRPr="002157F0">
        <w:rPr>
          <w:rStyle w:val="Voetnootmarkering"/>
        </w:rPr>
        <w:footnoteRef/>
      </w:r>
      <w:r w:rsidRPr="002157F0">
        <w:rPr>
          <w:sz w:val="18"/>
          <w:szCs w:val="18"/>
        </w:rPr>
        <w:t xml:space="preserve"> </w:t>
      </w:r>
      <w:r w:rsidRPr="00F04606">
        <w:rPr>
          <w:sz w:val="16"/>
          <w:szCs w:val="16"/>
        </w:rPr>
        <w:t>Kamerstukken II 2024/25, 36578 nr. 14</w:t>
      </w:r>
    </w:p>
  </w:footnote>
  <w:footnote w:id="16">
    <w:p w14:paraId="6F957D3A" w14:textId="77777777" w:rsidR="00D03F3C" w:rsidRDefault="00D03F3C" w:rsidP="00D03F3C">
      <w:pPr>
        <w:pStyle w:val="Voetnoottekst"/>
      </w:pPr>
      <w:r>
        <w:rPr>
          <w:rStyle w:val="Voetnootmarkering"/>
        </w:rPr>
        <w:footnoteRef/>
      </w:r>
      <w:r>
        <w:t xml:space="preserve"> </w:t>
      </w:r>
      <w:r w:rsidRPr="00D03F3C">
        <w:rPr>
          <w:sz w:val="16"/>
          <w:szCs w:val="16"/>
        </w:rPr>
        <w:t xml:space="preserve">Verordening (EU) 2023/435 van het Europees parlement en de Raad van 27 februari 2023 tot wijziging van Verordening (EU) 2021/241 wat betreft </w:t>
      </w:r>
      <w:proofErr w:type="spellStart"/>
      <w:r w:rsidRPr="00D03F3C">
        <w:rPr>
          <w:sz w:val="16"/>
          <w:szCs w:val="16"/>
        </w:rPr>
        <w:t>REPowerEU</w:t>
      </w:r>
      <w:proofErr w:type="spellEnd"/>
      <w:r w:rsidRPr="00D03F3C">
        <w:rPr>
          <w:sz w:val="16"/>
          <w:szCs w:val="16"/>
        </w:rPr>
        <w:t>-hoofdstukken in herstel- en veerkrachtplannen en tot wijziging van Verordeningen (EU) nr. 1303/2013, (EU) 2021/1060 en (EU) 2021/1755 en Richtlijn 2003/87/EG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8536" w14:textId="77777777" w:rsidR="00E36A8D" w:rsidRDefault="001305A5">
    <w:r>
      <w:rPr>
        <w:noProof/>
      </w:rPr>
      <mc:AlternateContent>
        <mc:Choice Requires="wps">
          <w:drawing>
            <wp:anchor distT="0" distB="0" distL="0" distR="0" simplePos="0" relativeHeight="251652096" behindDoc="0" locked="1" layoutInCell="1" allowOverlap="1" wp14:anchorId="1CCA9776" wp14:editId="23214C7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F899EE" w14:textId="77777777" w:rsidR="00E36A8D" w:rsidRDefault="001305A5">
                          <w:pPr>
                            <w:pStyle w:val="StandaardReferentiegegevensKop"/>
                          </w:pPr>
                          <w:r>
                            <w:t>Ons kenmerk</w:t>
                          </w:r>
                        </w:p>
                        <w:p w14:paraId="53363E8A" w14:textId="4831B1F8" w:rsidR="00745F72" w:rsidRDefault="00136C9E">
                          <w:pPr>
                            <w:pStyle w:val="StandaardReferentiegegevens"/>
                          </w:pPr>
                          <w:fldSimple w:instr=" DOCPROPERTY  &quot;Kenmerk&quot;  \* MERGEFORMAT ">
                            <w:r w:rsidR="007F374A">
                              <w:t>2025-0000490536</w:t>
                            </w:r>
                          </w:fldSimple>
                        </w:p>
                      </w:txbxContent>
                    </wps:txbx>
                    <wps:bodyPr vert="horz" wrap="square" lIns="0" tIns="0" rIns="0" bIns="0" anchor="t" anchorCtr="0"/>
                  </wps:wsp>
                </a:graphicData>
              </a:graphic>
            </wp:anchor>
          </w:drawing>
        </mc:Choice>
        <mc:Fallback>
          <w:pict>
            <v:shapetype w14:anchorId="1CCA977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3F899EE" w14:textId="77777777" w:rsidR="00E36A8D" w:rsidRDefault="001305A5">
                    <w:pPr>
                      <w:pStyle w:val="StandaardReferentiegegevensKop"/>
                    </w:pPr>
                    <w:r>
                      <w:t>Ons kenmerk</w:t>
                    </w:r>
                  </w:p>
                  <w:p w14:paraId="53363E8A" w14:textId="4831B1F8" w:rsidR="00745F72" w:rsidRDefault="00136C9E">
                    <w:pPr>
                      <w:pStyle w:val="StandaardReferentiegegevens"/>
                    </w:pPr>
                    <w:fldSimple w:instr=" DOCPROPERTY  &quot;Kenmerk&quot;  \* MERGEFORMAT ">
                      <w:r w:rsidR="007F374A">
                        <w:t>2025-0000490536</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F7FD084" wp14:editId="756F3CE1">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22D6FE" w14:textId="77777777" w:rsidR="00745F72" w:rsidRDefault="006A780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F7FD08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422D6FE" w14:textId="77777777" w:rsidR="00745F72" w:rsidRDefault="006A780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77F7747" wp14:editId="000FBC3C">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A0F0FF4" w14:textId="5989AF73" w:rsidR="00745F72" w:rsidRDefault="00745F7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77F774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A0F0FF4" w14:textId="5989AF73" w:rsidR="00745F72" w:rsidRDefault="00745F7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C908" w14:textId="77777777" w:rsidR="00E36A8D" w:rsidRDefault="001305A5">
    <w:pPr>
      <w:spacing w:after="7029" w:line="14" w:lineRule="exact"/>
    </w:pPr>
    <w:r>
      <w:rPr>
        <w:noProof/>
      </w:rPr>
      <mc:AlternateContent>
        <mc:Choice Requires="wps">
          <w:drawing>
            <wp:anchor distT="0" distB="0" distL="0" distR="0" simplePos="0" relativeHeight="251655168" behindDoc="0" locked="1" layoutInCell="1" allowOverlap="1" wp14:anchorId="76B4EA50" wp14:editId="158DF8D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4F41D88" w14:textId="77777777" w:rsidR="00E36A8D" w:rsidRDefault="001305A5">
                          <w:pPr>
                            <w:spacing w:line="240" w:lineRule="auto"/>
                          </w:pPr>
                          <w:r>
                            <w:rPr>
                              <w:noProof/>
                            </w:rPr>
                            <w:drawing>
                              <wp:inline distT="0" distB="0" distL="0" distR="0" wp14:anchorId="6E3BDD13" wp14:editId="099D248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B4EA5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4F41D88" w14:textId="77777777" w:rsidR="00E36A8D" w:rsidRDefault="001305A5">
                    <w:pPr>
                      <w:spacing w:line="240" w:lineRule="auto"/>
                    </w:pPr>
                    <w:r>
                      <w:rPr>
                        <w:noProof/>
                      </w:rPr>
                      <w:drawing>
                        <wp:inline distT="0" distB="0" distL="0" distR="0" wp14:anchorId="6E3BDD13" wp14:editId="099D248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28F7E37" wp14:editId="55E9A30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38E871D" w14:textId="77777777" w:rsidR="00291D52" w:rsidRDefault="00291D52"/>
                      </w:txbxContent>
                    </wps:txbx>
                    <wps:bodyPr vert="horz" wrap="square" lIns="0" tIns="0" rIns="0" bIns="0" anchor="t" anchorCtr="0"/>
                  </wps:wsp>
                </a:graphicData>
              </a:graphic>
            </wp:anchor>
          </w:drawing>
        </mc:Choice>
        <mc:Fallback>
          <w:pict>
            <v:shape w14:anchorId="028F7E3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38E871D" w14:textId="77777777" w:rsidR="00291D52" w:rsidRDefault="00291D5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F1F187B" wp14:editId="66FB239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9D82EE1" w14:textId="77777777" w:rsidR="00E36A8D" w:rsidRDefault="001305A5">
                          <w:pPr>
                            <w:pStyle w:val="StandaardReferentiegegevens"/>
                          </w:pPr>
                          <w:r>
                            <w:t>Korte Voorhout 7</w:t>
                          </w:r>
                        </w:p>
                        <w:p w14:paraId="458B2FE6" w14:textId="77777777" w:rsidR="00E36A8D" w:rsidRDefault="001305A5">
                          <w:pPr>
                            <w:pStyle w:val="StandaardReferentiegegevens"/>
                          </w:pPr>
                          <w:r>
                            <w:t>2511 CW  'S-GRAVENHAGE</w:t>
                          </w:r>
                        </w:p>
                        <w:p w14:paraId="07B9734F" w14:textId="77777777" w:rsidR="00E36A8D" w:rsidRDefault="001305A5">
                          <w:pPr>
                            <w:pStyle w:val="StandaardReferentiegegevens"/>
                          </w:pPr>
                          <w:r>
                            <w:t>POSTBUS 20201</w:t>
                          </w:r>
                        </w:p>
                        <w:p w14:paraId="70894EA0" w14:textId="77777777" w:rsidR="00E36A8D" w:rsidRPr="005A0DD2" w:rsidRDefault="001305A5">
                          <w:pPr>
                            <w:pStyle w:val="StandaardReferentiegegevens"/>
                            <w:rPr>
                              <w:lang w:val="es-ES"/>
                            </w:rPr>
                          </w:pPr>
                          <w:r w:rsidRPr="005A0DD2">
                            <w:rPr>
                              <w:lang w:val="es-ES"/>
                            </w:rPr>
                            <w:t xml:space="preserve">2500 </w:t>
                          </w:r>
                          <w:proofErr w:type="gramStart"/>
                          <w:r w:rsidRPr="005A0DD2">
                            <w:rPr>
                              <w:lang w:val="es-ES"/>
                            </w:rPr>
                            <w:t>EE  '</w:t>
                          </w:r>
                          <w:proofErr w:type="gramEnd"/>
                          <w:r w:rsidRPr="005A0DD2">
                            <w:rPr>
                              <w:lang w:val="es-ES"/>
                            </w:rPr>
                            <w:t>S-GRAVENHAGE</w:t>
                          </w:r>
                        </w:p>
                        <w:p w14:paraId="5E9A416A" w14:textId="77777777" w:rsidR="00E36A8D" w:rsidRPr="005A0DD2" w:rsidRDefault="001305A5">
                          <w:pPr>
                            <w:pStyle w:val="StandaardReferentiegegevens"/>
                            <w:rPr>
                              <w:lang w:val="es-ES"/>
                            </w:rPr>
                          </w:pPr>
                          <w:r w:rsidRPr="005A0DD2">
                            <w:rPr>
                              <w:lang w:val="es-ES"/>
                            </w:rPr>
                            <w:t>www.rijksoverheid.nl/fin</w:t>
                          </w:r>
                        </w:p>
                        <w:p w14:paraId="5ECC71EC" w14:textId="77777777" w:rsidR="00E36A8D" w:rsidRPr="005A0DD2" w:rsidRDefault="00E36A8D">
                          <w:pPr>
                            <w:pStyle w:val="WitregelW2"/>
                            <w:rPr>
                              <w:lang w:val="es-ES"/>
                            </w:rPr>
                          </w:pPr>
                        </w:p>
                        <w:p w14:paraId="643B5295" w14:textId="77777777" w:rsidR="00E36A8D" w:rsidRDefault="001305A5">
                          <w:pPr>
                            <w:pStyle w:val="StandaardReferentiegegevensKop"/>
                          </w:pPr>
                          <w:r>
                            <w:t>Ons kenmerk</w:t>
                          </w:r>
                        </w:p>
                        <w:p w14:paraId="52DC14E4" w14:textId="6FC86F37" w:rsidR="00745F72" w:rsidRDefault="00136C9E">
                          <w:pPr>
                            <w:pStyle w:val="StandaardReferentiegegevens"/>
                          </w:pPr>
                          <w:fldSimple w:instr=" DOCPROPERTY  &quot;Kenmerk&quot;  \* MERGEFORMAT ">
                            <w:r w:rsidR="007F374A">
                              <w:t>2025-0000490536</w:t>
                            </w:r>
                          </w:fldSimple>
                        </w:p>
                        <w:p w14:paraId="601A44D8" w14:textId="77777777" w:rsidR="00E36A8D" w:rsidRDefault="00E36A8D">
                          <w:pPr>
                            <w:pStyle w:val="WitregelW1"/>
                          </w:pPr>
                        </w:p>
                        <w:p w14:paraId="6AD00063" w14:textId="77777777" w:rsidR="00E36A8D" w:rsidRDefault="001305A5">
                          <w:pPr>
                            <w:pStyle w:val="StandaardReferentiegegevensKop"/>
                          </w:pPr>
                          <w:r>
                            <w:t>Uw brief (kenmerk)</w:t>
                          </w:r>
                        </w:p>
                        <w:p w14:paraId="48ABC1B6" w14:textId="26EA3A10" w:rsidR="00745F72" w:rsidRDefault="00745F72">
                          <w:pPr>
                            <w:pStyle w:val="StandaardReferentiegegevens"/>
                          </w:pPr>
                          <w:r>
                            <w:fldChar w:fldCharType="begin"/>
                          </w:r>
                          <w:r>
                            <w:instrText xml:space="preserve"> DOCPROPERTY  "UwKenmerk"  \* MERGEFORMAT </w:instrText>
                          </w:r>
                          <w:r>
                            <w:fldChar w:fldCharType="end"/>
                          </w:r>
                        </w:p>
                        <w:p w14:paraId="003344C1" w14:textId="77777777" w:rsidR="00E36A8D" w:rsidRDefault="00E36A8D">
                          <w:pPr>
                            <w:pStyle w:val="WitregelW1"/>
                          </w:pPr>
                        </w:p>
                        <w:p w14:paraId="49E1473A" w14:textId="77777777" w:rsidR="00E36A8D" w:rsidRDefault="001305A5">
                          <w:pPr>
                            <w:pStyle w:val="StandaardReferentiegegevensKop"/>
                          </w:pPr>
                          <w:r>
                            <w:t>Bijlagen</w:t>
                          </w:r>
                        </w:p>
                        <w:p w14:paraId="62764EDE" w14:textId="77777777" w:rsidR="00E36A8D" w:rsidRDefault="001305A5">
                          <w:pPr>
                            <w:pStyle w:val="StandaardReferentiegegevens"/>
                          </w:pPr>
                          <w:r>
                            <w:t>1. Tabel halfjaarlijkse rapportage</w:t>
                          </w:r>
                          <w:r w:rsidR="00604771">
                            <w:t xml:space="preserve"> HVP</w:t>
                          </w:r>
                        </w:p>
                      </w:txbxContent>
                    </wps:txbx>
                    <wps:bodyPr vert="horz" wrap="square" lIns="0" tIns="0" rIns="0" bIns="0" anchor="t" anchorCtr="0"/>
                  </wps:wsp>
                </a:graphicData>
              </a:graphic>
            </wp:anchor>
          </w:drawing>
        </mc:Choice>
        <mc:Fallback>
          <w:pict>
            <v:shape w14:anchorId="7F1F187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9D82EE1" w14:textId="77777777" w:rsidR="00E36A8D" w:rsidRDefault="001305A5">
                    <w:pPr>
                      <w:pStyle w:val="StandaardReferentiegegevens"/>
                    </w:pPr>
                    <w:r>
                      <w:t>Korte Voorhout 7</w:t>
                    </w:r>
                  </w:p>
                  <w:p w14:paraId="458B2FE6" w14:textId="77777777" w:rsidR="00E36A8D" w:rsidRDefault="001305A5">
                    <w:pPr>
                      <w:pStyle w:val="StandaardReferentiegegevens"/>
                    </w:pPr>
                    <w:r>
                      <w:t>2511 CW  'S-GRAVENHAGE</w:t>
                    </w:r>
                  </w:p>
                  <w:p w14:paraId="07B9734F" w14:textId="77777777" w:rsidR="00E36A8D" w:rsidRDefault="001305A5">
                    <w:pPr>
                      <w:pStyle w:val="StandaardReferentiegegevens"/>
                    </w:pPr>
                    <w:r>
                      <w:t>POSTBUS 20201</w:t>
                    </w:r>
                  </w:p>
                  <w:p w14:paraId="70894EA0" w14:textId="77777777" w:rsidR="00E36A8D" w:rsidRPr="005A0DD2" w:rsidRDefault="001305A5">
                    <w:pPr>
                      <w:pStyle w:val="StandaardReferentiegegevens"/>
                      <w:rPr>
                        <w:lang w:val="es-ES"/>
                      </w:rPr>
                    </w:pPr>
                    <w:r w:rsidRPr="005A0DD2">
                      <w:rPr>
                        <w:lang w:val="es-ES"/>
                      </w:rPr>
                      <w:t xml:space="preserve">2500 </w:t>
                    </w:r>
                    <w:proofErr w:type="gramStart"/>
                    <w:r w:rsidRPr="005A0DD2">
                      <w:rPr>
                        <w:lang w:val="es-ES"/>
                      </w:rPr>
                      <w:t>EE  '</w:t>
                    </w:r>
                    <w:proofErr w:type="gramEnd"/>
                    <w:r w:rsidRPr="005A0DD2">
                      <w:rPr>
                        <w:lang w:val="es-ES"/>
                      </w:rPr>
                      <w:t>S-GRAVENHAGE</w:t>
                    </w:r>
                  </w:p>
                  <w:p w14:paraId="5E9A416A" w14:textId="77777777" w:rsidR="00E36A8D" w:rsidRPr="005A0DD2" w:rsidRDefault="001305A5">
                    <w:pPr>
                      <w:pStyle w:val="StandaardReferentiegegevens"/>
                      <w:rPr>
                        <w:lang w:val="es-ES"/>
                      </w:rPr>
                    </w:pPr>
                    <w:r w:rsidRPr="005A0DD2">
                      <w:rPr>
                        <w:lang w:val="es-ES"/>
                      </w:rPr>
                      <w:t>www.rijksoverheid.nl/fin</w:t>
                    </w:r>
                  </w:p>
                  <w:p w14:paraId="5ECC71EC" w14:textId="77777777" w:rsidR="00E36A8D" w:rsidRPr="005A0DD2" w:rsidRDefault="00E36A8D">
                    <w:pPr>
                      <w:pStyle w:val="WitregelW2"/>
                      <w:rPr>
                        <w:lang w:val="es-ES"/>
                      </w:rPr>
                    </w:pPr>
                  </w:p>
                  <w:p w14:paraId="643B5295" w14:textId="77777777" w:rsidR="00E36A8D" w:rsidRDefault="001305A5">
                    <w:pPr>
                      <w:pStyle w:val="StandaardReferentiegegevensKop"/>
                    </w:pPr>
                    <w:r>
                      <w:t>Ons kenmerk</w:t>
                    </w:r>
                  </w:p>
                  <w:p w14:paraId="52DC14E4" w14:textId="6FC86F37" w:rsidR="00745F72" w:rsidRDefault="00136C9E">
                    <w:pPr>
                      <w:pStyle w:val="StandaardReferentiegegevens"/>
                    </w:pPr>
                    <w:fldSimple w:instr=" DOCPROPERTY  &quot;Kenmerk&quot;  \* MERGEFORMAT ">
                      <w:r w:rsidR="007F374A">
                        <w:t>2025-0000490536</w:t>
                      </w:r>
                    </w:fldSimple>
                  </w:p>
                  <w:p w14:paraId="601A44D8" w14:textId="77777777" w:rsidR="00E36A8D" w:rsidRDefault="00E36A8D">
                    <w:pPr>
                      <w:pStyle w:val="WitregelW1"/>
                    </w:pPr>
                  </w:p>
                  <w:p w14:paraId="6AD00063" w14:textId="77777777" w:rsidR="00E36A8D" w:rsidRDefault="001305A5">
                    <w:pPr>
                      <w:pStyle w:val="StandaardReferentiegegevensKop"/>
                    </w:pPr>
                    <w:r>
                      <w:t>Uw brief (kenmerk)</w:t>
                    </w:r>
                  </w:p>
                  <w:p w14:paraId="48ABC1B6" w14:textId="26EA3A10" w:rsidR="00745F72" w:rsidRDefault="00745F72">
                    <w:pPr>
                      <w:pStyle w:val="StandaardReferentiegegevens"/>
                    </w:pPr>
                    <w:r>
                      <w:fldChar w:fldCharType="begin"/>
                    </w:r>
                    <w:r>
                      <w:instrText xml:space="preserve"> DOCPROPERTY  "UwKenmerk"  \* MERGEFORMAT </w:instrText>
                    </w:r>
                    <w:r>
                      <w:fldChar w:fldCharType="end"/>
                    </w:r>
                  </w:p>
                  <w:p w14:paraId="003344C1" w14:textId="77777777" w:rsidR="00E36A8D" w:rsidRDefault="00E36A8D">
                    <w:pPr>
                      <w:pStyle w:val="WitregelW1"/>
                    </w:pPr>
                  </w:p>
                  <w:p w14:paraId="49E1473A" w14:textId="77777777" w:rsidR="00E36A8D" w:rsidRDefault="001305A5">
                    <w:pPr>
                      <w:pStyle w:val="StandaardReferentiegegevensKop"/>
                    </w:pPr>
                    <w:r>
                      <w:t>Bijlagen</w:t>
                    </w:r>
                  </w:p>
                  <w:p w14:paraId="62764EDE" w14:textId="77777777" w:rsidR="00E36A8D" w:rsidRDefault="001305A5">
                    <w:pPr>
                      <w:pStyle w:val="StandaardReferentiegegevens"/>
                    </w:pPr>
                    <w:r>
                      <w:t>1. Tabel halfjaarlijkse rapportage</w:t>
                    </w:r>
                    <w:r w:rsidR="00604771">
                      <w:t xml:space="preserve"> HVP</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B9129E7" wp14:editId="1B0158C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C4F0B44" w14:textId="77777777" w:rsidR="00E36A8D" w:rsidRDefault="001305A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B9129E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C4F0B44" w14:textId="77777777" w:rsidR="00E36A8D" w:rsidRDefault="001305A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DB7F701" wp14:editId="358BAEFD">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351230A" w14:textId="728153D2" w:rsidR="00745F72" w:rsidRDefault="00745F72">
                          <w:pPr>
                            <w:pStyle w:val="Rubricering"/>
                          </w:pPr>
                          <w:r>
                            <w:fldChar w:fldCharType="begin"/>
                          </w:r>
                          <w:r>
                            <w:instrText xml:space="preserve"> DOCPROPERTY  "Rubricering"  \* MERGEFORMAT </w:instrText>
                          </w:r>
                          <w:r>
                            <w:fldChar w:fldCharType="end"/>
                          </w:r>
                        </w:p>
                        <w:p w14:paraId="63054C27" w14:textId="77777777" w:rsidR="007F374A" w:rsidRDefault="001305A5">
                          <w:r>
                            <w:fldChar w:fldCharType="begin"/>
                          </w:r>
                          <w:r>
                            <w:instrText xml:space="preserve"> DOCPROPERTY  "Aan"  \* MERGEFORMAT </w:instrText>
                          </w:r>
                          <w:r>
                            <w:fldChar w:fldCharType="separate"/>
                          </w:r>
                          <w:r w:rsidR="007F374A">
                            <w:t>Voorzitter van de Tweede Kamer der Staten-Generaal</w:t>
                          </w:r>
                        </w:p>
                        <w:p w14:paraId="176DE786" w14:textId="77777777" w:rsidR="007F374A" w:rsidRDefault="007F374A">
                          <w:r>
                            <w:t>Postbus 20018</w:t>
                          </w:r>
                        </w:p>
                        <w:p w14:paraId="399A0800" w14:textId="77777777" w:rsidR="007F374A" w:rsidRDefault="007F374A">
                          <w:r>
                            <w:t>2500 EA  DEN HAAG</w:t>
                          </w:r>
                        </w:p>
                        <w:p w14:paraId="3FA43543" w14:textId="77777777" w:rsidR="007F374A" w:rsidRDefault="007F374A"/>
                        <w:p w14:paraId="28F952D6" w14:textId="77777777" w:rsidR="00E36A8D" w:rsidRDefault="001305A5">
                          <w:r>
                            <w:fldChar w:fldCharType="end"/>
                          </w:r>
                        </w:p>
                      </w:txbxContent>
                    </wps:txbx>
                    <wps:bodyPr vert="horz" wrap="square" lIns="0" tIns="0" rIns="0" bIns="0" anchor="t" anchorCtr="0"/>
                  </wps:wsp>
                </a:graphicData>
              </a:graphic>
            </wp:anchor>
          </w:drawing>
        </mc:Choice>
        <mc:Fallback>
          <w:pict>
            <v:shape w14:anchorId="1DB7F70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351230A" w14:textId="728153D2" w:rsidR="00745F72" w:rsidRDefault="00745F72">
                    <w:pPr>
                      <w:pStyle w:val="Rubricering"/>
                    </w:pPr>
                    <w:r>
                      <w:fldChar w:fldCharType="begin"/>
                    </w:r>
                    <w:r>
                      <w:instrText xml:space="preserve"> DOCPROPERTY  "Rubricering"  \* MERGEFORMAT </w:instrText>
                    </w:r>
                    <w:r>
                      <w:fldChar w:fldCharType="end"/>
                    </w:r>
                  </w:p>
                  <w:p w14:paraId="63054C27" w14:textId="77777777" w:rsidR="007F374A" w:rsidRDefault="001305A5">
                    <w:r>
                      <w:fldChar w:fldCharType="begin"/>
                    </w:r>
                    <w:r>
                      <w:instrText xml:space="preserve"> DOCPROPERTY  "Aan"  \* MERGEFORMAT </w:instrText>
                    </w:r>
                    <w:r>
                      <w:fldChar w:fldCharType="separate"/>
                    </w:r>
                    <w:r w:rsidR="007F374A">
                      <w:t>Voorzitter van de Tweede Kamer der Staten-Generaal</w:t>
                    </w:r>
                  </w:p>
                  <w:p w14:paraId="176DE786" w14:textId="77777777" w:rsidR="007F374A" w:rsidRDefault="007F374A">
                    <w:r>
                      <w:t>Postbus 20018</w:t>
                    </w:r>
                  </w:p>
                  <w:p w14:paraId="399A0800" w14:textId="77777777" w:rsidR="007F374A" w:rsidRDefault="007F374A">
                    <w:r>
                      <w:t>2500 EA  DEN HAAG</w:t>
                    </w:r>
                  </w:p>
                  <w:p w14:paraId="3FA43543" w14:textId="77777777" w:rsidR="007F374A" w:rsidRDefault="007F374A"/>
                  <w:p w14:paraId="28F952D6" w14:textId="77777777" w:rsidR="00E36A8D" w:rsidRDefault="001305A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AC500A4" wp14:editId="02B68087">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B49A45D" w14:textId="77777777" w:rsidR="00745F72" w:rsidRDefault="006A780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C500A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B49A45D" w14:textId="77777777" w:rsidR="00745F72" w:rsidRDefault="006A780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E6D7291" wp14:editId="37D0EF02">
              <wp:simplePos x="0" y="0"/>
              <wp:positionH relativeFrom="page">
                <wp:posOffset>1009650</wp:posOffset>
              </wp:positionH>
              <wp:positionV relativeFrom="paragraph">
                <wp:posOffset>3638550</wp:posOffset>
              </wp:positionV>
              <wp:extent cx="6174740"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6174740"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36A8D" w14:paraId="0CA6B4F7" w14:textId="77777777">
                            <w:trPr>
                              <w:trHeight w:val="200"/>
                            </w:trPr>
                            <w:tc>
                              <w:tcPr>
                                <w:tcW w:w="1140" w:type="dxa"/>
                              </w:tcPr>
                              <w:p w14:paraId="7F93CEBB" w14:textId="77777777" w:rsidR="00E36A8D" w:rsidRDefault="00E36A8D"/>
                            </w:tc>
                            <w:tc>
                              <w:tcPr>
                                <w:tcW w:w="5400" w:type="dxa"/>
                              </w:tcPr>
                              <w:p w14:paraId="646EE07B" w14:textId="77777777" w:rsidR="00E36A8D" w:rsidRDefault="00E36A8D"/>
                            </w:tc>
                          </w:tr>
                          <w:tr w:rsidR="00E36A8D" w14:paraId="1B0537F4" w14:textId="77777777">
                            <w:trPr>
                              <w:trHeight w:val="240"/>
                            </w:trPr>
                            <w:tc>
                              <w:tcPr>
                                <w:tcW w:w="1140" w:type="dxa"/>
                              </w:tcPr>
                              <w:p w14:paraId="727918E1" w14:textId="77777777" w:rsidR="00E36A8D" w:rsidRDefault="001305A5">
                                <w:r>
                                  <w:t>Datum</w:t>
                                </w:r>
                              </w:p>
                            </w:tc>
                            <w:tc>
                              <w:tcPr>
                                <w:tcW w:w="5400" w:type="dxa"/>
                              </w:tcPr>
                              <w:p w14:paraId="2ABC75F0" w14:textId="4B724387" w:rsidR="00E36A8D" w:rsidRDefault="00833E56">
                                <w:r>
                                  <w:t>4 november 2025</w:t>
                                </w:r>
                              </w:p>
                            </w:tc>
                          </w:tr>
                          <w:tr w:rsidR="00E36A8D" w14:paraId="7965472C" w14:textId="77777777">
                            <w:trPr>
                              <w:trHeight w:val="240"/>
                            </w:trPr>
                            <w:tc>
                              <w:tcPr>
                                <w:tcW w:w="1140" w:type="dxa"/>
                              </w:tcPr>
                              <w:p w14:paraId="32405539" w14:textId="77777777" w:rsidR="00E36A8D" w:rsidRDefault="001305A5">
                                <w:r>
                                  <w:t>Betreft</w:t>
                                </w:r>
                              </w:p>
                            </w:tc>
                            <w:tc>
                              <w:tcPr>
                                <w:tcW w:w="5400" w:type="dxa"/>
                              </w:tcPr>
                              <w:p w14:paraId="69122D6B" w14:textId="77777777" w:rsidR="00E36A8D" w:rsidRDefault="000466E8">
                                <w:r w:rsidRPr="000466E8">
                                  <w:t>Voortgang implementatie Herstel- en Veerkrachtplan</w:t>
                                </w:r>
                              </w:p>
                            </w:tc>
                          </w:tr>
                          <w:tr w:rsidR="00E36A8D" w14:paraId="036E650E" w14:textId="77777777">
                            <w:trPr>
                              <w:trHeight w:val="200"/>
                            </w:trPr>
                            <w:tc>
                              <w:tcPr>
                                <w:tcW w:w="1140" w:type="dxa"/>
                              </w:tcPr>
                              <w:p w14:paraId="3D685301" w14:textId="77777777" w:rsidR="00E36A8D" w:rsidRDefault="00E36A8D"/>
                            </w:tc>
                            <w:tc>
                              <w:tcPr>
                                <w:tcW w:w="4738" w:type="dxa"/>
                              </w:tcPr>
                              <w:p w14:paraId="6645161E" w14:textId="77777777" w:rsidR="00E36A8D" w:rsidRDefault="00E36A8D"/>
                            </w:tc>
                          </w:tr>
                        </w:tbl>
                        <w:p w14:paraId="3D2769A2" w14:textId="77777777" w:rsidR="00291D52" w:rsidRDefault="00291D52"/>
                      </w:txbxContent>
                    </wps:txbx>
                    <wps:bodyPr vert="horz" wrap="square" lIns="0" tIns="0" rIns="0" bIns="0" anchor="t" anchorCtr="0"/>
                  </wps:wsp>
                </a:graphicData>
              </a:graphic>
              <wp14:sizeRelH relativeFrom="margin">
                <wp14:pctWidth>0</wp14:pctWidth>
              </wp14:sizeRelH>
            </wp:anchor>
          </w:drawing>
        </mc:Choice>
        <mc:Fallback>
          <w:pict>
            <v:shape w14:anchorId="2E6D7291" id="bd4aaf7a-03a6-11ee-8f29-0242ac130005" o:spid="_x0000_s1035" type="#_x0000_t202" style="position:absolute;margin-left:79.5pt;margin-top:286.5pt;width:486.2pt;height:59.5pt;z-index:2516613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9kOkwEAABQDAAAOAAAAZHJzL2Uyb0RvYy54bWysUsFOIzEMvSPxD1Hu22kRbWHUFIlFIKQV&#10;IAEfkGaSTqRJHJzQme7X4wSmXe3eVlwcx06en5+9uhpcx3YaowUv+Gwy5Ux7BY31W8FfX25/XHAW&#10;k/SN7MBrwfc68qv16cmqD7U+gxa6RiMjEB/rPgjephTqqoqq1U7GCQTtKWkAnUx0xW3VoOwJ3XXV&#10;2XS6qHrAJiAoHSNFbz6TfF3wjdEqPRoTdWKd4MQtFYvFbrKt1itZb1GG1qovGvI/WDhpPRU9QN3I&#10;JNk72n+gnFUIEUyaKHAVGGOVLj1QN7PpX908tzLo0guJE8NBpvh9sOph9xyekKXhGgYaYBakD7GO&#10;FMz9DAZdPokpozxJuD/IpofEFAUXs+X58pxSinLL+XwxL7pWx98BY7rT4Fh2BEcaS1FL7n7FRBXp&#10;6fgkF/Nwa7sux49UspeGzcBsI/jlSHMDzZ7Y0wISbAv4m7Oehil4fHuXqDnr7j2plSc/Ojg6m9GR&#10;XtFXwRNnn+7PVDZkJEDSF4pfa5Jn++e90Dwu8/oDAAD//wMAUEsDBBQABgAIAAAAIQAwokBi4QAA&#10;AAwBAAAPAAAAZHJzL2Rvd25yZXYueG1sTI/BTsMwEETvSPyDtUjcqJ2WBhLiVBWCExIiDQeOTuwm&#10;VuN1iN02/D3bE9x2tKOZN8VmdgM7mSlYjxKShQBmsPXaYifhs369ewQWokKtBo9Gwo8JsCmvrwqV&#10;a3/Gypx2sWMUgiFXEvoYx5zz0PbGqbDwo0H67f3kVCQ5dVxP6kzhbuBLIVLulEVq6NVonnvTHnZH&#10;J2H7hdWL/X5vPqp9Zes6E/iWHqS8vZm3T8CimeOfGS74hA4lMTX+iDqwgfQ6oy1RwvphRcfFkayS&#10;e2CNhDRbCuBlwf+PKH8BAAD//wMAUEsBAi0AFAAGAAgAAAAhALaDOJL+AAAA4QEAABMAAAAAAAAA&#10;AAAAAAAAAAAAAFtDb250ZW50X1R5cGVzXS54bWxQSwECLQAUAAYACAAAACEAOP0h/9YAAACUAQAA&#10;CwAAAAAAAAAAAAAAAAAvAQAAX3JlbHMvLnJlbHNQSwECLQAUAAYACAAAACEAyefZDpMBAAAUAwAA&#10;DgAAAAAAAAAAAAAAAAAuAgAAZHJzL2Uyb0RvYy54bWxQSwECLQAUAAYACAAAACEAMKJAYuEAAAAM&#10;AQAADwAAAAAAAAAAAAAAAADt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E36A8D" w14:paraId="0CA6B4F7" w14:textId="77777777">
                      <w:trPr>
                        <w:trHeight w:val="200"/>
                      </w:trPr>
                      <w:tc>
                        <w:tcPr>
                          <w:tcW w:w="1140" w:type="dxa"/>
                        </w:tcPr>
                        <w:p w14:paraId="7F93CEBB" w14:textId="77777777" w:rsidR="00E36A8D" w:rsidRDefault="00E36A8D"/>
                      </w:tc>
                      <w:tc>
                        <w:tcPr>
                          <w:tcW w:w="5400" w:type="dxa"/>
                        </w:tcPr>
                        <w:p w14:paraId="646EE07B" w14:textId="77777777" w:rsidR="00E36A8D" w:rsidRDefault="00E36A8D"/>
                      </w:tc>
                    </w:tr>
                    <w:tr w:rsidR="00E36A8D" w14:paraId="1B0537F4" w14:textId="77777777">
                      <w:trPr>
                        <w:trHeight w:val="240"/>
                      </w:trPr>
                      <w:tc>
                        <w:tcPr>
                          <w:tcW w:w="1140" w:type="dxa"/>
                        </w:tcPr>
                        <w:p w14:paraId="727918E1" w14:textId="77777777" w:rsidR="00E36A8D" w:rsidRDefault="001305A5">
                          <w:r>
                            <w:t>Datum</w:t>
                          </w:r>
                        </w:p>
                      </w:tc>
                      <w:tc>
                        <w:tcPr>
                          <w:tcW w:w="5400" w:type="dxa"/>
                        </w:tcPr>
                        <w:p w14:paraId="2ABC75F0" w14:textId="4B724387" w:rsidR="00E36A8D" w:rsidRDefault="00833E56">
                          <w:r>
                            <w:t>4 november 2025</w:t>
                          </w:r>
                        </w:p>
                      </w:tc>
                    </w:tr>
                    <w:tr w:rsidR="00E36A8D" w14:paraId="7965472C" w14:textId="77777777">
                      <w:trPr>
                        <w:trHeight w:val="240"/>
                      </w:trPr>
                      <w:tc>
                        <w:tcPr>
                          <w:tcW w:w="1140" w:type="dxa"/>
                        </w:tcPr>
                        <w:p w14:paraId="32405539" w14:textId="77777777" w:rsidR="00E36A8D" w:rsidRDefault="001305A5">
                          <w:r>
                            <w:t>Betreft</w:t>
                          </w:r>
                        </w:p>
                      </w:tc>
                      <w:tc>
                        <w:tcPr>
                          <w:tcW w:w="5400" w:type="dxa"/>
                        </w:tcPr>
                        <w:p w14:paraId="69122D6B" w14:textId="77777777" w:rsidR="00E36A8D" w:rsidRDefault="000466E8">
                          <w:r w:rsidRPr="000466E8">
                            <w:t>Voortgang implementatie Herstel- en Veerkrachtplan</w:t>
                          </w:r>
                        </w:p>
                      </w:tc>
                    </w:tr>
                    <w:tr w:rsidR="00E36A8D" w14:paraId="036E650E" w14:textId="77777777">
                      <w:trPr>
                        <w:trHeight w:val="200"/>
                      </w:trPr>
                      <w:tc>
                        <w:tcPr>
                          <w:tcW w:w="1140" w:type="dxa"/>
                        </w:tcPr>
                        <w:p w14:paraId="3D685301" w14:textId="77777777" w:rsidR="00E36A8D" w:rsidRDefault="00E36A8D"/>
                      </w:tc>
                      <w:tc>
                        <w:tcPr>
                          <w:tcW w:w="4738" w:type="dxa"/>
                        </w:tcPr>
                        <w:p w14:paraId="6645161E" w14:textId="77777777" w:rsidR="00E36A8D" w:rsidRDefault="00E36A8D"/>
                      </w:tc>
                    </w:tr>
                  </w:tbl>
                  <w:p w14:paraId="3D2769A2" w14:textId="77777777" w:rsidR="00291D52" w:rsidRDefault="00291D5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56DF165" wp14:editId="45D2AF72">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ACF6C05" w14:textId="1667E618" w:rsidR="00745F72" w:rsidRDefault="00745F7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56DF16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ACF6C05" w14:textId="1667E618" w:rsidR="00745F72" w:rsidRDefault="00745F7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EA176A4" wp14:editId="53513D5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7F6F943" w14:textId="77777777" w:rsidR="00291D52" w:rsidRDefault="00291D52"/>
                      </w:txbxContent>
                    </wps:txbx>
                    <wps:bodyPr vert="horz" wrap="square" lIns="0" tIns="0" rIns="0" bIns="0" anchor="t" anchorCtr="0"/>
                  </wps:wsp>
                </a:graphicData>
              </a:graphic>
            </wp:anchor>
          </w:drawing>
        </mc:Choice>
        <mc:Fallback>
          <w:pict>
            <v:shape w14:anchorId="3EA176A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7F6F943" w14:textId="77777777" w:rsidR="00291D52" w:rsidRDefault="00291D5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3B575"/>
    <w:multiLevelType w:val="multilevel"/>
    <w:tmpl w:val="1BCFF01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EEB3B5"/>
    <w:multiLevelType w:val="multilevel"/>
    <w:tmpl w:val="938538D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02166"/>
    <w:multiLevelType w:val="hybridMultilevel"/>
    <w:tmpl w:val="5510B316"/>
    <w:lvl w:ilvl="0" w:tplc="C71C270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4E2111"/>
    <w:multiLevelType w:val="multilevel"/>
    <w:tmpl w:val="08F738B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442B65"/>
    <w:multiLevelType w:val="hybridMultilevel"/>
    <w:tmpl w:val="4910829E"/>
    <w:lvl w:ilvl="0" w:tplc="87AEA3E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48612B"/>
    <w:multiLevelType w:val="hybridMultilevel"/>
    <w:tmpl w:val="1B6C5218"/>
    <w:lvl w:ilvl="0" w:tplc="43E868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87E15E"/>
    <w:multiLevelType w:val="multilevel"/>
    <w:tmpl w:val="972066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01370DF"/>
    <w:multiLevelType w:val="hybridMultilevel"/>
    <w:tmpl w:val="5C826A5A"/>
    <w:lvl w:ilvl="0" w:tplc="60B471C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DC8567"/>
    <w:multiLevelType w:val="multilevel"/>
    <w:tmpl w:val="474EA07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547327"/>
    <w:multiLevelType w:val="multilevel"/>
    <w:tmpl w:val="DAB75C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09973253">
    <w:abstractNumId w:val="1"/>
  </w:num>
  <w:num w:numId="2" w16cid:durableId="1500581275">
    <w:abstractNumId w:val="8"/>
  </w:num>
  <w:num w:numId="3" w16cid:durableId="865410572">
    <w:abstractNumId w:val="6"/>
  </w:num>
  <w:num w:numId="4" w16cid:durableId="1470395920">
    <w:abstractNumId w:val="9"/>
  </w:num>
  <w:num w:numId="5" w16cid:durableId="61605808">
    <w:abstractNumId w:val="3"/>
  </w:num>
  <w:num w:numId="6" w16cid:durableId="920993494">
    <w:abstractNumId w:val="0"/>
  </w:num>
  <w:num w:numId="7" w16cid:durableId="617368665">
    <w:abstractNumId w:val="4"/>
  </w:num>
  <w:num w:numId="8" w16cid:durableId="1549101297">
    <w:abstractNumId w:val="5"/>
  </w:num>
  <w:num w:numId="9" w16cid:durableId="1210652036">
    <w:abstractNumId w:val="7"/>
  </w:num>
  <w:num w:numId="10" w16cid:durableId="9027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D2"/>
    <w:rsid w:val="00003B05"/>
    <w:rsid w:val="00012DB8"/>
    <w:rsid w:val="00014218"/>
    <w:rsid w:val="00015C3C"/>
    <w:rsid w:val="0001778E"/>
    <w:rsid w:val="00020C80"/>
    <w:rsid w:val="0002572E"/>
    <w:rsid w:val="00030E82"/>
    <w:rsid w:val="000324AC"/>
    <w:rsid w:val="00033572"/>
    <w:rsid w:val="00045853"/>
    <w:rsid w:val="000466E8"/>
    <w:rsid w:val="0004745E"/>
    <w:rsid w:val="000520A0"/>
    <w:rsid w:val="00062FBD"/>
    <w:rsid w:val="000654E6"/>
    <w:rsid w:val="000674F9"/>
    <w:rsid w:val="00076F32"/>
    <w:rsid w:val="00080DB2"/>
    <w:rsid w:val="000875A4"/>
    <w:rsid w:val="000952B6"/>
    <w:rsid w:val="000B0621"/>
    <w:rsid w:val="000B5619"/>
    <w:rsid w:val="000F3A27"/>
    <w:rsid w:val="001037D3"/>
    <w:rsid w:val="0010781E"/>
    <w:rsid w:val="00111D11"/>
    <w:rsid w:val="001305A5"/>
    <w:rsid w:val="00131C09"/>
    <w:rsid w:val="00136C9E"/>
    <w:rsid w:val="0015084C"/>
    <w:rsid w:val="00172BA1"/>
    <w:rsid w:val="0018785C"/>
    <w:rsid w:val="00192925"/>
    <w:rsid w:val="001944C9"/>
    <w:rsid w:val="001B0C6C"/>
    <w:rsid w:val="001C19AE"/>
    <w:rsid w:val="001D4B4C"/>
    <w:rsid w:val="001E4EEE"/>
    <w:rsid w:val="002122F5"/>
    <w:rsid w:val="0021243B"/>
    <w:rsid w:val="002157F0"/>
    <w:rsid w:val="00236262"/>
    <w:rsid w:val="00236AA6"/>
    <w:rsid w:val="00242413"/>
    <w:rsid w:val="00246817"/>
    <w:rsid w:val="00250D8E"/>
    <w:rsid w:val="0026035E"/>
    <w:rsid w:val="00260A4D"/>
    <w:rsid w:val="00262A3B"/>
    <w:rsid w:val="002656C1"/>
    <w:rsid w:val="002667AB"/>
    <w:rsid w:val="00270ABD"/>
    <w:rsid w:val="00271037"/>
    <w:rsid w:val="00280C51"/>
    <w:rsid w:val="0028253B"/>
    <w:rsid w:val="00291D52"/>
    <w:rsid w:val="00292F1D"/>
    <w:rsid w:val="002A1781"/>
    <w:rsid w:val="002B151B"/>
    <w:rsid w:val="002E2EE0"/>
    <w:rsid w:val="002E5EC3"/>
    <w:rsid w:val="002E75A1"/>
    <w:rsid w:val="0030753A"/>
    <w:rsid w:val="0032285A"/>
    <w:rsid w:val="00323FBB"/>
    <w:rsid w:val="00336555"/>
    <w:rsid w:val="003427AA"/>
    <w:rsid w:val="00343439"/>
    <w:rsid w:val="00346402"/>
    <w:rsid w:val="00352B6A"/>
    <w:rsid w:val="003534F9"/>
    <w:rsid w:val="00360DC7"/>
    <w:rsid w:val="0036304C"/>
    <w:rsid w:val="00371099"/>
    <w:rsid w:val="003A2C30"/>
    <w:rsid w:val="003B12E0"/>
    <w:rsid w:val="003C71B6"/>
    <w:rsid w:val="003D1D5F"/>
    <w:rsid w:val="003D7802"/>
    <w:rsid w:val="003E1966"/>
    <w:rsid w:val="003E5FF5"/>
    <w:rsid w:val="003F2FCF"/>
    <w:rsid w:val="004019BE"/>
    <w:rsid w:val="0041033B"/>
    <w:rsid w:val="0041184C"/>
    <w:rsid w:val="00414F9C"/>
    <w:rsid w:val="00416D2F"/>
    <w:rsid w:val="004304E0"/>
    <w:rsid w:val="00432541"/>
    <w:rsid w:val="0045725B"/>
    <w:rsid w:val="00461668"/>
    <w:rsid w:val="004634EE"/>
    <w:rsid w:val="00463546"/>
    <w:rsid w:val="00463C3C"/>
    <w:rsid w:val="00471CDD"/>
    <w:rsid w:val="00474196"/>
    <w:rsid w:val="00482B32"/>
    <w:rsid w:val="00486006"/>
    <w:rsid w:val="00486014"/>
    <w:rsid w:val="00486E26"/>
    <w:rsid w:val="0049658F"/>
    <w:rsid w:val="00496660"/>
    <w:rsid w:val="004A4B21"/>
    <w:rsid w:val="004B2810"/>
    <w:rsid w:val="004B4EA6"/>
    <w:rsid w:val="004C4623"/>
    <w:rsid w:val="004D2B0E"/>
    <w:rsid w:val="004F39AD"/>
    <w:rsid w:val="00505F32"/>
    <w:rsid w:val="00511D27"/>
    <w:rsid w:val="005129E7"/>
    <w:rsid w:val="0052411A"/>
    <w:rsid w:val="00532485"/>
    <w:rsid w:val="005429D8"/>
    <w:rsid w:val="005432B8"/>
    <w:rsid w:val="005546D0"/>
    <w:rsid w:val="00563EE6"/>
    <w:rsid w:val="00565867"/>
    <w:rsid w:val="005670C7"/>
    <w:rsid w:val="005746AD"/>
    <w:rsid w:val="005757C4"/>
    <w:rsid w:val="00580AA7"/>
    <w:rsid w:val="00593447"/>
    <w:rsid w:val="005A0DD2"/>
    <w:rsid w:val="005A1907"/>
    <w:rsid w:val="005A2F2D"/>
    <w:rsid w:val="005A3821"/>
    <w:rsid w:val="005A4CD6"/>
    <w:rsid w:val="005B4385"/>
    <w:rsid w:val="005B64A2"/>
    <w:rsid w:val="005C141A"/>
    <w:rsid w:val="005C2205"/>
    <w:rsid w:val="005C3654"/>
    <w:rsid w:val="005D6F89"/>
    <w:rsid w:val="005E2EB1"/>
    <w:rsid w:val="005E7B6A"/>
    <w:rsid w:val="005F5EC5"/>
    <w:rsid w:val="0060407C"/>
    <w:rsid w:val="00604771"/>
    <w:rsid w:val="006061BD"/>
    <w:rsid w:val="00610477"/>
    <w:rsid w:val="006172F4"/>
    <w:rsid w:val="006179A1"/>
    <w:rsid w:val="00620086"/>
    <w:rsid w:val="00620768"/>
    <w:rsid w:val="00624367"/>
    <w:rsid w:val="006358F5"/>
    <w:rsid w:val="0064126C"/>
    <w:rsid w:val="006537AE"/>
    <w:rsid w:val="00666B38"/>
    <w:rsid w:val="00672F55"/>
    <w:rsid w:val="00673E57"/>
    <w:rsid w:val="006911EB"/>
    <w:rsid w:val="00694616"/>
    <w:rsid w:val="006A2151"/>
    <w:rsid w:val="006A34D7"/>
    <w:rsid w:val="006A780B"/>
    <w:rsid w:val="006C4B80"/>
    <w:rsid w:val="006C4BE1"/>
    <w:rsid w:val="006C50A8"/>
    <w:rsid w:val="006C7B04"/>
    <w:rsid w:val="00704124"/>
    <w:rsid w:val="00705D8A"/>
    <w:rsid w:val="00712AC6"/>
    <w:rsid w:val="00721347"/>
    <w:rsid w:val="00721E18"/>
    <w:rsid w:val="007251FE"/>
    <w:rsid w:val="0073539B"/>
    <w:rsid w:val="00743A50"/>
    <w:rsid w:val="00745F72"/>
    <w:rsid w:val="007538B0"/>
    <w:rsid w:val="007678A7"/>
    <w:rsid w:val="00774D25"/>
    <w:rsid w:val="00792328"/>
    <w:rsid w:val="00797BA9"/>
    <w:rsid w:val="007A6A36"/>
    <w:rsid w:val="007B0FA5"/>
    <w:rsid w:val="007C1AB5"/>
    <w:rsid w:val="007C4159"/>
    <w:rsid w:val="007C58D4"/>
    <w:rsid w:val="007C5F44"/>
    <w:rsid w:val="007D5DE7"/>
    <w:rsid w:val="007D6502"/>
    <w:rsid w:val="007E6B5B"/>
    <w:rsid w:val="007E73EC"/>
    <w:rsid w:val="007F374A"/>
    <w:rsid w:val="00803F35"/>
    <w:rsid w:val="00814B79"/>
    <w:rsid w:val="00816FB9"/>
    <w:rsid w:val="008208B2"/>
    <w:rsid w:val="008315B5"/>
    <w:rsid w:val="00832BBB"/>
    <w:rsid w:val="00833E56"/>
    <w:rsid w:val="00833E5B"/>
    <w:rsid w:val="00845D0D"/>
    <w:rsid w:val="0085655E"/>
    <w:rsid w:val="00857E39"/>
    <w:rsid w:val="00862D19"/>
    <w:rsid w:val="00866D37"/>
    <w:rsid w:val="00871409"/>
    <w:rsid w:val="008726D4"/>
    <w:rsid w:val="00875668"/>
    <w:rsid w:val="00880BCB"/>
    <w:rsid w:val="00882FB1"/>
    <w:rsid w:val="008835B5"/>
    <w:rsid w:val="0089470B"/>
    <w:rsid w:val="00897938"/>
    <w:rsid w:val="008A1259"/>
    <w:rsid w:val="008B1C25"/>
    <w:rsid w:val="008D296C"/>
    <w:rsid w:val="008D4B4D"/>
    <w:rsid w:val="008D4C47"/>
    <w:rsid w:val="008D5825"/>
    <w:rsid w:val="008E2EE2"/>
    <w:rsid w:val="008E5576"/>
    <w:rsid w:val="009058FC"/>
    <w:rsid w:val="00914AFD"/>
    <w:rsid w:val="00914C08"/>
    <w:rsid w:val="009205C7"/>
    <w:rsid w:val="00920DE6"/>
    <w:rsid w:val="00922EBF"/>
    <w:rsid w:val="009307B8"/>
    <w:rsid w:val="00933FD4"/>
    <w:rsid w:val="00936CCA"/>
    <w:rsid w:val="0093715B"/>
    <w:rsid w:val="0094596F"/>
    <w:rsid w:val="00946D1E"/>
    <w:rsid w:val="00950ECA"/>
    <w:rsid w:val="00962D1F"/>
    <w:rsid w:val="009655DB"/>
    <w:rsid w:val="00970B4D"/>
    <w:rsid w:val="00973DCF"/>
    <w:rsid w:val="00980341"/>
    <w:rsid w:val="00991822"/>
    <w:rsid w:val="0099316B"/>
    <w:rsid w:val="009C0FE1"/>
    <w:rsid w:val="009D2432"/>
    <w:rsid w:val="009E36F8"/>
    <w:rsid w:val="009F18A9"/>
    <w:rsid w:val="009F2BC4"/>
    <w:rsid w:val="00A05BAF"/>
    <w:rsid w:val="00A06B9C"/>
    <w:rsid w:val="00A10585"/>
    <w:rsid w:val="00A1532F"/>
    <w:rsid w:val="00A22F3E"/>
    <w:rsid w:val="00A309C7"/>
    <w:rsid w:val="00A36B45"/>
    <w:rsid w:val="00A46F85"/>
    <w:rsid w:val="00A4755D"/>
    <w:rsid w:val="00A52358"/>
    <w:rsid w:val="00A54E01"/>
    <w:rsid w:val="00A565F4"/>
    <w:rsid w:val="00A71A5A"/>
    <w:rsid w:val="00A7536E"/>
    <w:rsid w:val="00A90B34"/>
    <w:rsid w:val="00A92AFB"/>
    <w:rsid w:val="00A97142"/>
    <w:rsid w:val="00AC1538"/>
    <w:rsid w:val="00AC5B92"/>
    <w:rsid w:val="00AD20B8"/>
    <w:rsid w:val="00AE2F5C"/>
    <w:rsid w:val="00AE4313"/>
    <w:rsid w:val="00AF0FAA"/>
    <w:rsid w:val="00AF75FA"/>
    <w:rsid w:val="00B043B5"/>
    <w:rsid w:val="00B062D8"/>
    <w:rsid w:val="00B106E3"/>
    <w:rsid w:val="00B1471D"/>
    <w:rsid w:val="00B24155"/>
    <w:rsid w:val="00B44116"/>
    <w:rsid w:val="00B45334"/>
    <w:rsid w:val="00B516E1"/>
    <w:rsid w:val="00B57442"/>
    <w:rsid w:val="00B61A92"/>
    <w:rsid w:val="00B735CC"/>
    <w:rsid w:val="00B74DC8"/>
    <w:rsid w:val="00B80B96"/>
    <w:rsid w:val="00B851DD"/>
    <w:rsid w:val="00BA01C8"/>
    <w:rsid w:val="00BA11F4"/>
    <w:rsid w:val="00BA182C"/>
    <w:rsid w:val="00BA405D"/>
    <w:rsid w:val="00BB7CF3"/>
    <w:rsid w:val="00BC484A"/>
    <w:rsid w:val="00BC5891"/>
    <w:rsid w:val="00BE207A"/>
    <w:rsid w:val="00BE34B8"/>
    <w:rsid w:val="00BE4E71"/>
    <w:rsid w:val="00C0056A"/>
    <w:rsid w:val="00C16D8F"/>
    <w:rsid w:val="00C22242"/>
    <w:rsid w:val="00C46851"/>
    <w:rsid w:val="00C536BF"/>
    <w:rsid w:val="00C7033F"/>
    <w:rsid w:val="00C70436"/>
    <w:rsid w:val="00C92DAF"/>
    <w:rsid w:val="00C96FDE"/>
    <w:rsid w:val="00CA010E"/>
    <w:rsid w:val="00CA479F"/>
    <w:rsid w:val="00CB21D0"/>
    <w:rsid w:val="00CC34BD"/>
    <w:rsid w:val="00CE170C"/>
    <w:rsid w:val="00CE7B72"/>
    <w:rsid w:val="00CF705C"/>
    <w:rsid w:val="00D03F3C"/>
    <w:rsid w:val="00D118DF"/>
    <w:rsid w:val="00D40871"/>
    <w:rsid w:val="00D5014B"/>
    <w:rsid w:val="00D517D5"/>
    <w:rsid w:val="00D52A08"/>
    <w:rsid w:val="00D52E28"/>
    <w:rsid w:val="00D71751"/>
    <w:rsid w:val="00D86E92"/>
    <w:rsid w:val="00D961AE"/>
    <w:rsid w:val="00DC32C1"/>
    <w:rsid w:val="00DC4590"/>
    <w:rsid w:val="00DD24A2"/>
    <w:rsid w:val="00DD357F"/>
    <w:rsid w:val="00DD63CB"/>
    <w:rsid w:val="00DF131E"/>
    <w:rsid w:val="00E30716"/>
    <w:rsid w:val="00E36A8D"/>
    <w:rsid w:val="00E42632"/>
    <w:rsid w:val="00E5151C"/>
    <w:rsid w:val="00E71CBC"/>
    <w:rsid w:val="00E73C2F"/>
    <w:rsid w:val="00E7675B"/>
    <w:rsid w:val="00E85FCA"/>
    <w:rsid w:val="00EA017C"/>
    <w:rsid w:val="00EB12B8"/>
    <w:rsid w:val="00EB4605"/>
    <w:rsid w:val="00EC2FC1"/>
    <w:rsid w:val="00EC30BD"/>
    <w:rsid w:val="00ED1937"/>
    <w:rsid w:val="00EF11E3"/>
    <w:rsid w:val="00EF6EAB"/>
    <w:rsid w:val="00EF797B"/>
    <w:rsid w:val="00F20707"/>
    <w:rsid w:val="00F26FFF"/>
    <w:rsid w:val="00F35D35"/>
    <w:rsid w:val="00F36292"/>
    <w:rsid w:val="00F43D6E"/>
    <w:rsid w:val="00F5142D"/>
    <w:rsid w:val="00F54545"/>
    <w:rsid w:val="00F57CC9"/>
    <w:rsid w:val="00F621F0"/>
    <w:rsid w:val="00F662C7"/>
    <w:rsid w:val="00F67828"/>
    <w:rsid w:val="00F73794"/>
    <w:rsid w:val="00F87450"/>
    <w:rsid w:val="00FB1623"/>
    <w:rsid w:val="00FB292E"/>
    <w:rsid w:val="00FD01F4"/>
    <w:rsid w:val="00FD7E84"/>
    <w:rsid w:val="00FE171F"/>
    <w:rsid w:val="00FE2C23"/>
    <w:rsid w:val="00FF5B82"/>
    <w:rsid w:val="0C72C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56EA9"/>
  <w15:docId w15:val="{885DA26D-DB6D-4F8F-A958-3B291E18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A405D"/>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Lijstalinea">
    <w:name w:val="List Paragraph"/>
    <w:basedOn w:val="Standaard"/>
    <w:uiPriority w:val="34"/>
    <w:rsid w:val="00CE170C"/>
    <w:pPr>
      <w:ind w:left="720"/>
      <w:contextualSpacing/>
    </w:pPr>
  </w:style>
  <w:style w:type="paragraph" w:styleId="Voetnoottekst">
    <w:name w:val="footnote text"/>
    <w:basedOn w:val="Standaard"/>
    <w:link w:val="VoetnoottekstChar"/>
    <w:uiPriority w:val="99"/>
    <w:semiHidden/>
    <w:unhideWhenUsed/>
    <w:rsid w:val="00D03F3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03F3C"/>
    <w:rPr>
      <w:rFonts w:ascii="Verdana" w:hAnsi="Verdana"/>
      <w:color w:val="000000"/>
    </w:rPr>
  </w:style>
  <w:style w:type="character" w:styleId="Voetnootmarkering">
    <w:name w:val="footnote reference"/>
    <w:basedOn w:val="Standaardalinea-lettertype"/>
    <w:uiPriority w:val="99"/>
    <w:semiHidden/>
    <w:unhideWhenUsed/>
    <w:rsid w:val="00D03F3C"/>
    <w:rPr>
      <w:vertAlign w:val="superscript"/>
    </w:rPr>
  </w:style>
  <w:style w:type="paragraph" w:styleId="Revisie">
    <w:name w:val="Revision"/>
    <w:hidden/>
    <w:uiPriority w:val="99"/>
    <w:semiHidden/>
    <w:rsid w:val="00360DC7"/>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360DC7"/>
    <w:rPr>
      <w:color w:val="605E5C"/>
      <w:shd w:val="clear" w:color="auto" w:fill="E1DFDD"/>
    </w:rPr>
  </w:style>
  <w:style w:type="character" w:styleId="Verwijzingopmerking">
    <w:name w:val="annotation reference"/>
    <w:basedOn w:val="Standaardalinea-lettertype"/>
    <w:uiPriority w:val="99"/>
    <w:semiHidden/>
    <w:unhideWhenUsed/>
    <w:rsid w:val="00B24155"/>
    <w:rPr>
      <w:sz w:val="16"/>
      <w:szCs w:val="16"/>
    </w:rPr>
  </w:style>
  <w:style w:type="paragraph" w:styleId="Tekstopmerking">
    <w:name w:val="annotation text"/>
    <w:basedOn w:val="Standaard"/>
    <w:link w:val="TekstopmerkingChar"/>
    <w:uiPriority w:val="99"/>
    <w:unhideWhenUsed/>
    <w:rsid w:val="00B24155"/>
    <w:pPr>
      <w:spacing w:line="240" w:lineRule="auto"/>
    </w:pPr>
    <w:rPr>
      <w:sz w:val="20"/>
      <w:szCs w:val="20"/>
    </w:rPr>
  </w:style>
  <w:style w:type="character" w:customStyle="1" w:styleId="TekstopmerkingChar">
    <w:name w:val="Tekst opmerking Char"/>
    <w:basedOn w:val="Standaardalinea-lettertype"/>
    <w:link w:val="Tekstopmerking"/>
    <w:uiPriority w:val="99"/>
    <w:rsid w:val="00B2415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24155"/>
    <w:rPr>
      <w:b/>
      <w:bCs/>
    </w:rPr>
  </w:style>
  <w:style w:type="character" w:customStyle="1" w:styleId="OnderwerpvanopmerkingChar">
    <w:name w:val="Onderwerp van opmerking Char"/>
    <w:basedOn w:val="TekstopmerkingChar"/>
    <w:link w:val="Onderwerpvanopmerking"/>
    <w:uiPriority w:val="99"/>
    <w:semiHidden/>
    <w:rsid w:val="00B24155"/>
    <w:rPr>
      <w:rFonts w:ascii="Verdana" w:hAnsi="Verdana"/>
      <w:b/>
      <w:bCs/>
      <w:color w:val="000000"/>
    </w:rPr>
  </w:style>
  <w:style w:type="paragraph" w:styleId="Koptekst">
    <w:name w:val="header"/>
    <w:basedOn w:val="Standaard"/>
    <w:link w:val="KoptekstChar"/>
    <w:uiPriority w:val="99"/>
    <w:unhideWhenUsed/>
    <w:rsid w:val="008D4C4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4C47"/>
    <w:rPr>
      <w:rFonts w:ascii="Verdana" w:hAnsi="Verdana"/>
      <w:color w:val="000000"/>
      <w:sz w:val="18"/>
      <w:szCs w:val="18"/>
    </w:rPr>
  </w:style>
  <w:style w:type="paragraph" w:styleId="Voettekst">
    <w:name w:val="footer"/>
    <w:basedOn w:val="Standaard"/>
    <w:link w:val="VoettekstChar"/>
    <w:uiPriority w:val="99"/>
    <w:unhideWhenUsed/>
    <w:rsid w:val="008D4C4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4C4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210">
      <w:bodyDiv w:val="1"/>
      <w:marLeft w:val="0"/>
      <w:marRight w:val="0"/>
      <w:marTop w:val="0"/>
      <w:marBottom w:val="0"/>
      <w:divBdr>
        <w:top w:val="none" w:sz="0" w:space="0" w:color="auto"/>
        <w:left w:val="none" w:sz="0" w:space="0" w:color="auto"/>
        <w:bottom w:val="none" w:sz="0" w:space="0" w:color="auto"/>
        <w:right w:val="none" w:sz="0" w:space="0" w:color="auto"/>
      </w:divBdr>
    </w:div>
    <w:div w:id="176508318">
      <w:bodyDiv w:val="1"/>
      <w:marLeft w:val="0"/>
      <w:marRight w:val="0"/>
      <w:marTop w:val="0"/>
      <w:marBottom w:val="0"/>
      <w:divBdr>
        <w:top w:val="none" w:sz="0" w:space="0" w:color="auto"/>
        <w:left w:val="none" w:sz="0" w:space="0" w:color="auto"/>
        <w:bottom w:val="none" w:sz="0" w:space="0" w:color="auto"/>
        <w:right w:val="none" w:sz="0" w:space="0" w:color="auto"/>
      </w:divBdr>
    </w:div>
    <w:div w:id="353386439">
      <w:bodyDiv w:val="1"/>
      <w:marLeft w:val="0"/>
      <w:marRight w:val="0"/>
      <w:marTop w:val="0"/>
      <w:marBottom w:val="0"/>
      <w:divBdr>
        <w:top w:val="none" w:sz="0" w:space="0" w:color="auto"/>
        <w:left w:val="none" w:sz="0" w:space="0" w:color="auto"/>
        <w:bottom w:val="none" w:sz="0" w:space="0" w:color="auto"/>
        <w:right w:val="none" w:sz="0" w:space="0" w:color="auto"/>
      </w:divBdr>
      <w:divsChild>
        <w:div w:id="771171227">
          <w:marLeft w:val="0"/>
          <w:marRight w:val="0"/>
          <w:marTop w:val="0"/>
          <w:marBottom w:val="0"/>
          <w:divBdr>
            <w:top w:val="none" w:sz="0" w:space="0" w:color="auto"/>
            <w:left w:val="none" w:sz="0" w:space="0" w:color="auto"/>
            <w:bottom w:val="none" w:sz="0" w:space="0" w:color="auto"/>
            <w:right w:val="none" w:sz="0" w:space="0" w:color="auto"/>
          </w:divBdr>
        </w:div>
      </w:divsChild>
    </w:div>
    <w:div w:id="511648639">
      <w:bodyDiv w:val="1"/>
      <w:marLeft w:val="0"/>
      <w:marRight w:val="0"/>
      <w:marTop w:val="0"/>
      <w:marBottom w:val="0"/>
      <w:divBdr>
        <w:top w:val="none" w:sz="0" w:space="0" w:color="auto"/>
        <w:left w:val="none" w:sz="0" w:space="0" w:color="auto"/>
        <w:bottom w:val="none" w:sz="0" w:space="0" w:color="auto"/>
        <w:right w:val="none" w:sz="0" w:space="0" w:color="auto"/>
      </w:divBdr>
      <w:divsChild>
        <w:div w:id="578056147">
          <w:marLeft w:val="0"/>
          <w:marRight w:val="0"/>
          <w:marTop w:val="0"/>
          <w:marBottom w:val="0"/>
          <w:divBdr>
            <w:top w:val="none" w:sz="0" w:space="0" w:color="auto"/>
            <w:left w:val="none" w:sz="0" w:space="0" w:color="auto"/>
            <w:bottom w:val="none" w:sz="0" w:space="0" w:color="auto"/>
            <w:right w:val="none" w:sz="0" w:space="0" w:color="auto"/>
          </w:divBdr>
        </w:div>
      </w:divsChild>
    </w:div>
    <w:div w:id="627517272">
      <w:bodyDiv w:val="1"/>
      <w:marLeft w:val="0"/>
      <w:marRight w:val="0"/>
      <w:marTop w:val="0"/>
      <w:marBottom w:val="0"/>
      <w:divBdr>
        <w:top w:val="none" w:sz="0" w:space="0" w:color="auto"/>
        <w:left w:val="none" w:sz="0" w:space="0" w:color="auto"/>
        <w:bottom w:val="none" w:sz="0" w:space="0" w:color="auto"/>
        <w:right w:val="none" w:sz="0" w:space="0" w:color="auto"/>
      </w:divBdr>
    </w:div>
    <w:div w:id="717777479">
      <w:bodyDiv w:val="1"/>
      <w:marLeft w:val="0"/>
      <w:marRight w:val="0"/>
      <w:marTop w:val="0"/>
      <w:marBottom w:val="0"/>
      <w:divBdr>
        <w:top w:val="none" w:sz="0" w:space="0" w:color="auto"/>
        <w:left w:val="none" w:sz="0" w:space="0" w:color="auto"/>
        <w:bottom w:val="none" w:sz="0" w:space="0" w:color="auto"/>
        <w:right w:val="none" w:sz="0" w:space="0" w:color="auto"/>
      </w:divBdr>
    </w:div>
    <w:div w:id="774785294">
      <w:bodyDiv w:val="1"/>
      <w:marLeft w:val="0"/>
      <w:marRight w:val="0"/>
      <w:marTop w:val="0"/>
      <w:marBottom w:val="0"/>
      <w:divBdr>
        <w:top w:val="none" w:sz="0" w:space="0" w:color="auto"/>
        <w:left w:val="none" w:sz="0" w:space="0" w:color="auto"/>
        <w:bottom w:val="none" w:sz="0" w:space="0" w:color="auto"/>
        <w:right w:val="none" w:sz="0" w:space="0" w:color="auto"/>
      </w:divBdr>
    </w:div>
    <w:div w:id="1340889339">
      <w:bodyDiv w:val="1"/>
      <w:marLeft w:val="0"/>
      <w:marRight w:val="0"/>
      <w:marTop w:val="0"/>
      <w:marBottom w:val="0"/>
      <w:divBdr>
        <w:top w:val="none" w:sz="0" w:space="0" w:color="auto"/>
        <w:left w:val="none" w:sz="0" w:space="0" w:color="auto"/>
        <w:bottom w:val="none" w:sz="0" w:space="0" w:color="auto"/>
        <w:right w:val="none" w:sz="0" w:space="0" w:color="auto"/>
      </w:divBdr>
    </w:div>
    <w:div w:id="1378970450">
      <w:bodyDiv w:val="1"/>
      <w:marLeft w:val="0"/>
      <w:marRight w:val="0"/>
      <w:marTop w:val="0"/>
      <w:marBottom w:val="0"/>
      <w:divBdr>
        <w:top w:val="none" w:sz="0" w:space="0" w:color="auto"/>
        <w:left w:val="none" w:sz="0" w:space="0" w:color="auto"/>
        <w:bottom w:val="none" w:sz="0" w:space="0" w:color="auto"/>
        <w:right w:val="none" w:sz="0" w:space="0" w:color="auto"/>
      </w:divBdr>
      <w:divsChild>
        <w:div w:id="1662005173">
          <w:marLeft w:val="0"/>
          <w:marRight w:val="0"/>
          <w:marTop w:val="0"/>
          <w:marBottom w:val="0"/>
          <w:divBdr>
            <w:top w:val="none" w:sz="0" w:space="0" w:color="auto"/>
            <w:left w:val="none" w:sz="0" w:space="0" w:color="auto"/>
            <w:bottom w:val="none" w:sz="0" w:space="0" w:color="auto"/>
            <w:right w:val="none" w:sz="0" w:space="0" w:color="auto"/>
          </w:divBdr>
        </w:div>
      </w:divsChild>
    </w:div>
    <w:div w:id="1527013537">
      <w:bodyDiv w:val="1"/>
      <w:marLeft w:val="0"/>
      <w:marRight w:val="0"/>
      <w:marTop w:val="0"/>
      <w:marBottom w:val="0"/>
      <w:divBdr>
        <w:top w:val="none" w:sz="0" w:space="0" w:color="auto"/>
        <w:left w:val="none" w:sz="0" w:space="0" w:color="auto"/>
        <w:bottom w:val="none" w:sz="0" w:space="0" w:color="auto"/>
        <w:right w:val="none" w:sz="0" w:space="0" w:color="auto"/>
      </w:divBdr>
    </w:div>
    <w:div w:id="1765178079">
      <w:bodyDiv w:val="1"/>
      <w:marLeft w:val="0"/>
      <w:marRight w:val="0"/>
      <w:marTop w:val="0"/>
      <w:marBottom w:val="0"/>
      <w:divBdr>
        <w:top w:val="none" w:sz="0" w:space="0" w:color="auto"/>
        <w:left w:val="none" w:sz="0" w:space="0" w:color="auto"/>
        <w:bottom w:val="none" w:sz="0" w:space="0" w:color="auto"/>
        <w:right w:val="none" w:sz="0" w:space="0" w:color="auto"/>
      </w:divBdr>
    </w:div>
    <w:div w:id="1927419835">
      <w:bodyDiv w:val="1"/>
      <w:marLeft w:val="0"/>
      <w:marRight w:val="0"/>
      <w:marTop w:val="0"/>
      <w:marBottom w:val="0"/>
      <w:divBdr>
        <w:top w:val="none" w:sz="0" w:space="0" w:color="auto"/>
        <w:left w:val="none" w:sz="0" w:space="0" w:color="auto"/>
        <w:bottom w:val="none" w:sz="0" w:space="0" w:color="auto"/>
        <w:right w:val="none" w:sz="0" w:space="0" w:color="auto"/>
      </w:divBdr>
      <w:divsChild>
        <w:div w:id="869681774">
          <w:marLeft w:val="0"/>
          <w:marRight w:val="0"/>
          <w:marTop w:val="0"/>
          <w:marBottom w:val="0"/>
          <w:divBdr>
            <w:top w:val="none" w:sz="0" w:space="0" w:color="auto"/>
            <w:left w:val="none" w:sz="0" w:space="0" w:color="auto"/>
            <w:bottom w:val="none" w:sz="0" w:space="0" w:color="auto"/>
            <w:right w:val="none" w:sz="0" w:space="0" w:color="auto"/>
          </w:divBdr>
        </w:div>
      </w:divsChild>
    </w:div>
    <w:div w:id="2062902021">
      <w:bodyDiv w:val="1"/>
      <w:marLeft w:val="0"/>
      <w:marRight w:val="0"/>
      <w:marTop w:val="0"/>
      <w:marBottom w:val="0"/>
      <w:divBdr>
        <w:top w:val="none" w:sz="0" w:space="0" w:color="auto"/>
        <w:left w:val="none" w:sz="0" w:space="0" w:color="auto"/>
        <w:bottom w:val="none" w:sz="0" w:space="0" w:color="auto"/>
        <w:right w:val="none" w:sz="0" w:space="0" w:color="auto"/>
      </w:divBdr>
      <w:divsChild>
        <w:div w:id="165363559">
          <w:marLeft w:val="0"/>
          <w:marRight w:val="0"/>
          <w:marTop w:val="0"/>
          <w:marBottom w:val="0"/>
          <w:divBdr>
            <w:top w:val="none" w:sz="0" w:space="0" w:color="auto"/>
            <w:left w:val="none" w:sz="0" w:space="0" w:color="auto"/>
            <w:bottom w:val="none" w:sz="0" w:space="0" w:color="auto"/>
            <w:right w:val="none" w:sz="0" w:space="0" w:color="auto"/>
          </w:divBdr>
        </w:div>
      </w:divsChild>
    </w:div>
    <w:div w:id="2108772928">
      <w:bodyDiv w:val="1"/>
      <w:marLeft w:val="0"/>
      <w:marRight w:val="0"/>
      <w:marTop w:val="0"/>
      <w:marBottom w:val="0"/>
      <w:divBdr>
        <w:top w:val="none" w:sz="0" w:space="0" w:color="auto"/>
        <w:left w:val="none" w:sz="0" w:space="0" w:color="auto"/>
        <w:bottom w:val="none" w:sz="0" w:space="0" w:color="auto"/>
        <w:right w:val="none" w:sz="0" w:space="0" w:color="auto"/>
      </w:divBdr>
      <w:divsChild>
        <w:div w:id="5241761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ad5f00c9-4101-41a0-9d8f-e78f06c0c7ed_en?filename=COM_2025_310_1_EN_ACT_part1_v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1527</ap:Words>
  <ap:Characters>8402</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aan Eerste of Tweede Kamer - Halfjaarlijkse rapportage Herstel- en Veerkrachtplan</vt:lpstr>
    </vt:vector>
  </ap:TitlesOfParts>
  <ap:LinksUpToDate>false</ap:LinksUpToDate>
  <ap:CharactersWithSpaces>9910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2025-10-24T08:18:00.0000000Z</lastPrinted>
  <dcterms:created xsi:type="dcterms:W3CDTF">2025-11-04T15:04:00.0000000Z</dcterms:created>
  <dcterms:modified xsi:type="dcterms:W3CDTF">2025-11-04T15:04:00.0000000Z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Halfjaarlijkse rapportage Herstel- en Veerkrachtplan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27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2025-0000490536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Halfjaarlijkse rapportage Herstel- en Veerkrachtplan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2025-08-27T07:14:59Z</vt:lpwstr>
  </property>
  <property fmtid="{D5CDD505-2E9C-101B-9397-08002B2CF9AE}" pid="33" name="MSIP_Label_6800fede-0e59-47ad-af95-4e63bbdb932d_Method">
    <vt:lpwstr>Privileged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8b95d608-baa3-4f48-8103-52bd60530e16</vt:lpwstr>
  </property>
  <property fmtid="{D5CDD505-2E9C-101B-9397-08002B2CF9AE}" pid="37" name="MSIP_Label_6800fede-0e59-47ad-af95-4e63bbdb932d_ContentBits">
    <vt:lpwstr>0</vt:lpwstr>
  </property>
  <property fmtid="{D5CDD505-2E9C-101B-9397-08002B2CF9AE}" pid="38" name="ContentTypeId">
    <vt:lpwstr>0x010100452955FA467C72448CA47F728811AA62</vt:lpwstr>
  </property>
</Properties>
</file>