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C2" w:rsidP="00DD21CD" w:rsidRDefault="00913BC2" w14:paraId="4F744F91" w14:textId="0AF03955">
      <w:pPr>
        <w:tabs>
          <w:tab w:val="left" w:pos="3828"/>
        </w:tabs>
      </w:pPr>
      <w:bookmarkStart w:name="_GoBack" w:id="0"/>
      <w:bookmarkEnd w:id="0"/>
      <w:r>
        <w:t>Geachte voorzitter,</w:t>
      </w:r>
    </w:p>
    <w:p w:rsidR="00913BC2" w:rsidP="00913BC2" w:rsidRDefault="00913BC2" w14:paraId="4BD1732A" w14:textId="77777777"/>
    <w:p w:rsidR="00C66B96" w:rsidP="00913BC2" w:rsidRDefault="00C66B96" w14:paraId="13D9DA95" w14:textId="77777777"/>
    <w:p w:rsidR="00913BC2" w:rsidP="00913BC2" w:rsidRDefault="00913BC2" w14:paraId="545BFC57" w14:textId="17BCFAC6">
      <w:r>
        <w:t>Op 25 april 2025</w:t>
      </w:r>
      <w:r>
        <w:rPr>
          <w:rStyle w:val="FootnoteReference"/>
        </w:rPr>
        <w:footnoteReference w:id="1"/>
      </w:r>
      <w:r>
        <w:t xml:space="preserve"> </w:t>
      </w:r>
      <w:r w:rsidR="007C74F3">
        <w:t>is</w:t>
      </w:r>
      <w:r>
        <w:t xml:space="preserve"> </w:t>
      </w:r>
      <w:r w:rsidR="007C74F3">
        <w:t>de</w:t>
      </w:r>
      <w:r>
        <w:t xml:space="preserve"> </w:t>
      </w:r>
      <w:r w:rsidR="007C74F3">
        <w:t>K</w:t>
      </w:r>
      <w:r>
        <w:t xml:space="preserve">amer geïnformeerd over de voortgang van </w:t>
      </w:r>
      <w:r w:rsidR="00DD21CD">
        <w:t xml:space="preserve">onderzoeken </w:t>
      </w:r>
      <w:r w:rsidR="000C0861">
        <w:t xml:space="preserve">naar </w:t>
      </w:r>
      <w:r>
        <w:t xml:space="preserve">de effecten van luchtvaart op de luchtkwaliteit op en rond luchthavens. </w:t>
      </w:r>
      <w:r w:rsidR="00DD21CD">
        <w:t>Sindsdien</w:t>
      </w:r>
      <w:r w:rsidR="00D6275A">
        <w:t xml:space="preserve"> zijn </w:t>
      </w:r>
      <w:r w:rsidR="00AC0481">
        <w:t xml:space="preserve">de resultaten </w:t>
      </w:r>
      <w:r w:rsidR="00093B15">
        <w:t xml:space="preserve">van </w:t>
      </w:r>
      <w:r w:rsidR="00D6275A">
        <w:t xml:space="preserve">een aantal nieuwe onderzoeken beschikbaar, waarover </w:t>
      </w:r>
      <w:r w:rsidR="00AA4746">
        <w:t>de Kamer</w:t>
      </w:r>
      <w:r w:rsidR="00D6275A">
        <w:t xml:space="preserve"> hierbij </w:t>
      </w:r>
      <w:r w:rsidR="00AA4746">
        <w:t>geï</w:t>
      </w:r>
      <w:r w:rsidR="00D6275A">
        <w:t>nformeer</w:t>
      </w:r>
      <w:r w:rsidR="00AA4746">
        <w:t>d wordt</w:t>
      </w:r>
      <w:r w:rsidR="00D6275A">
        <w:t>. Het gaat om een onderzoek naar de concentratie van ultrafijnstof (UFP) op een aantal regionale luchthavens</w:t>
      </w:r>
      <w:r w:rsidR="00DD21CD">
        <w:t xml:space="preserve"> van nationale betekenis</w:t>
      </w:r>
      <w:r w:rsidR="00D6275A">
        <w:t>, en over de ontwikkeling van een uniforme rekenmethode voor luchtvaartemissies.</w:t>
      </w:r>
    </w:p>
    <w:p w:rsidR="00D6275A" w:rsidP="00913BC2" w:rsidRDefault="00D6275A" w14:paraId="53BCE15D" w14:textId="77777777"/>
    <w:p w:rsidR="00D6275A" w:rsidP="00913BC2" w:rsidRDefault="00DD21CD" w14:paraId="2E423C62" w14:textId="461FDEFD">
      <w:r>
        <w:t>O</w:t>
      </w:r>
      <w:r w:rsidR="00D6275A">
        <w:t xml:space="preserve">p 10 september 2025 </w:t>
      </w:r>
      <w:r>
        <w:t xml:space="preserve">is </w:t>
      </w:r>
      <w:r w:rsidR="00D6275A">
        <w:t>door een aantal maatschappelijke organisaties het manifest “Gezondheid en Luchtvaart” aangeboden</w:t>
      </w:r>
      <w:r w:rsidR="00AA4746">
        <w:t xml:space="preserve"> aan de Kamer</w:t>
      </w:r>
      <w:r w:rsidR="000C0861">
        <w:t>. Hierin wordt</w:t>
      </w:r>
      <w:r w:rsidR="00D6275A">
        <w:t xml:space="preserve"> opgeroepen tot een onafhankelijk advies door de Gezondheidsraad over de impact van luchtvaart op de gezondheid.</w:t>
      </w:r>
      <w:r w:rsidR="002D2B2D">
        <w:t xml:space="preserve"> Dit in navolging van de Maatschappelijke Raad Schiphol, die </w:t>
      </w:r>
      <w:r w:rsidR="00A57308">
        <w:t xml:space="preserve">op 3 september </w:t>
      </w:r>
      <w:r w:rsidR="002D2B2D">
        <w:t xml:space="preserve">een brief met een vergelijkbaar verzoek </w:t>
      </w:r>
      <w:r w:rsidR="00A57308">
        <w:t xml:space="preserve">aan </w:t>
      </w:r>
      <w:r w:rsidR="004F67D7">
        <w:t>mij</w:t>
      </w:r>
      <w:r w:rsidR="004E2053">
        <w:t xml:space="preserve"> </w:t>
      </w:r>
      <w:r w:rsidR="00A57308">
        <w:t>gestuurd heeft</w:t>
      </w:r>
      <w:r w:rsidR="004F67D7">
        <w:rPr>
          <w:rStyle w:val="FootnoteReference"/>
        </w:rPr>
        <w:footnoteReference w:id="2"/>
      </w:r>
      <w:r w:rsidR="00A57308">
        <w:t>.</w:t>
      </w:r>
      <w:r w:rsidR="00D6275A">
        <w:t xml:space="preserve"> </w:t>
      </w:r>
      <w:r w:rsidR="001F41DB">
        <w:t xml:space="preserve">In het Commissiedebat Luchtvaart van 10 september 2025 </w:t>
      </w:r>
      <w:r w:rsidR="00C720B1">
        <w:t>is</w:t>
      </w:r>
      <w:r w:rsidR="001F41DB">
        <w:t xml:space="preserve"> aan lid Bamenga (D66) </w:t>
      </w:r>
      <w:r w:rsidR="007C74F3">
        <w:t>toegezegd dat het kabinet</w:t>
      </w:r>
      <w:r w:rsidR="00D6275A">
        <w:t xml:space="preserve"> hier binnen een maand een reactie</w:t>
      </w:r>
      <w:r w:rsidR="007C74F3">
        <w:t xml:space="preserve"> op </w:t>
      </w:r>
      <w:r w:rsidR="00C720B1">
        <w:t>stuurt</w:t>
      </w:r>
      <w:r w:rsidR="00D6275A">
        <w:t xml:space="preserve">. Met deze brief </w:t>
      </w:r>
      <w:r w:rsidR="007C74F3">
        <w:t>wordt</w:t>
      </w:r>
      <w:r w:rsidR="001A7423">
        <w:t xml:space="preserve">, </w:t>
      </w:r>
      <w:r w:rsidR="00B31B6C">
        <w:t>in afstemming met het ministerie van VWS,</w:t>
      </w:r>
      <w:r w:rsidR="007C74F3">
        <w:t xml:space="preserve"> </w:t>
      </w:r>
      <w:r w:rsidR="00093B15">
        <w:t xml:space="preserve">invulling gegeven aan deze </w:t>
      </w:r>
      <w:r w:rsidR="00D6275A">
        <w:t>toezegging</w:t>
      </w:r>
      <w:r w:rsidR="00B51E6F">
        <w:rPr>
          <w:rStyle w:val="FootnoteReference"/>
        </w:rPr>
        <w:footnoteReference w:id="3"/>
      </w:r>
      <w:r w:rsidR="00D6275A">
        <w:t>.</w:t>
      </w:r>
    </w:p>
    <w:p w:rsidR="001B6C63" w:rsidP="00913BC2" w:rsidRDefault="001B6C63" w14:paraId="39361A20" w14:textId="77777777"/>
    <w:p w:rsidRPr="00647428" w:rsidR="00647428" w:rsidP="00913BC2" w:rsidRDefault="00647428" w14:paraId="7FB10AAE" w14:textId="31633174">
      <w:pPr>
        <w:rPr>
          <w:b/>
          <w:bCs/>
        </w:rPr>
      </w:pPr>
      <w:r>
        <w:rPr>
          <w:b/>
          <w:bCs/>
        </w:rPr>
        <w:t>Onderzoek naar UFP op regionale luchthavens</w:t>
      </w:r>
    </w:p>
    <w:p w:rsidR="00647428" w:rsidP="00647428" w:rsidRDefault="00647428" w14:paraId="7FFED962" w14:textId="7AABA87A">
      <w:r>
        <w:t xml:space="preserve">In navolging van een </w:t>
      </w:r>
      <w:r w:rsidR="00F37815">
        <w:t xml:space="preserve">meerjarig </w:t>
      </w:r>
      <w:r>
        <w:t>onderzoek op en rond Schiphol</w:t>
      </w:r>
      <w:r>
        <w:rPr>
          <w:rStyle w:val="FootnoteReference"/>
        </w:rPr>
        <w:footnoteReference w:id="4"/>
      </w:r>
      <w:r>
        <w:t xml:space="preserve"> is toegezegd ook onderzoek te doen naar de</w:t>
      </w:r>
      <w:r w:rsidR="00F37815">
        <w:t xml:space="preserve"> jaargemiddelde concentraties van ultrafijnstof</w:t>
      </w:r>
      <w:r>
        <w:t xml:space="preserve"> op de regionale luchthavens Groningen Airport Eelde</w:t>
      </w:r>
      <w:r w:rsidR="00F37815">
        <w:t xml:space="preserve"> (GAE)</w:t>
      </w:r>
      <w:r>
        <w:t>, Maastricht Aachen Airport</w:t>
      </w:r>
      <w:r w:rsidR="00F37815">
        <w:t xml:space="preserve"> (MAA)</w:t>
      </w:r>
      <w:r>
        <w:t xml:space="preserve"> en Rotterdam The Hague Airport</w:t>
      </w:r>
      <w:r w:rsidR="00F37815">
        <w:t xml:space="preserve"> (RTHA)</w:t>
      </w:r>
      <w:r w:rsidR="009E6AD2">
        <w:rPr>
          <w:rStyle w:val="FootnoteReference"/>
        </w:rPr>
        <w:footnoteReference w:id="5"/>
      </w:r>
      <w:r>
        <w:t xml:space="preserve">. Omdat op Lelystad Airport nog geen groothandelsverkeer vliegt valt deze luchthaven buiten de scope van dit onderzoek. Het Nationaal Lucht- en Ruimtevaartcentrum NLR heeft dit onderzoek </w:t>
      </w:r>
      <w:r>
        <w:lastRenderedPageBreak/>
        <w:t xml:space="preserve">inmiddels afgerond. </w:t>
      </w:r>
      <w:r w:rsidR="004A2F62">
        <w:t xml:space="preserve">De </w:t>
      </w:r>
      <w:r w:rsidR="004F67D7">
        <w:t>definitieve versie van dit onderzoek</w:t>
      </w:r>
      <w:r w:rsidR="004A2F62">
        <w:t xml:space="preserve"> </w:t>
      </w:r>
      <w:r w:rsidR="00D90C91">
        <w:t xml:space="preserve">is </w:t>
      </w:r>
      <w:r w:rsidR="004F67D7">
        <w:t xml:space="preserve">bij deze brief </w:t>
      </w:r>
      <w:r w:rsidR="00D90C91">
        <w:t>bijgevoegd als Bijlage 1.</w:t>
      </w:r>
    </w:p>
    <w:p w:rsidR="00647428" w:rsidP="00647428" w:rsidRDefault="00647428" w14:paraId="1A9BDA84" w14:textId="77777777"/>
    <w:p w:rsidR="0070306B" w:rsidP="00F37815" w:rsidRDefault="004F67D7" w14:paraId="3C327FA5" w14:textId="3FFDE6A6">
      <w:r>
        <w:t xml:space="preserve">Voor het bepalen van de concentraties van UFP op en rond de luchthaven heeft het NLR eerst de emissies van de vliegtuigmotoren </w:t>
      </w:r>
      <w:r w:rsidR="00EF3838">
        <w:t xml:space="preserve">en hulpmotoren (APU) berekend. Vervolgens is de verspreiding van UFP over de omgeving bepaald met een dispersiemodel. </w:t>
      </w:r>
      <w:r w:rsidR="00647428">
        <w:t xml:space="preserve">Uit de resultaten blijkt dat </w:t>
      </w:r>
      <w:r w:rsidR="00F37815">
        <w:t xml:space="preserve">de hoogste concentraties op en rond het platform </w:t>
      </w:r>
      <w:r w:rsidR="00EF3838">
        <w:t>voorkomen</w:t>
      </w:r>
      <w:r w:rsidR="00F37815">
        <w:t xml:space="preserve">. Daarnaast zijn er grote verschillen tussen de luchthavens. Voor RTHA is de hoogste concentratie </w:t>
      </w:r>
      <w:r w:rsidR="00A57308">
        <w:t xml:space="preserve">circa </w:t>
      </w:r>
      <w:r w:rsidR="00F37815">
        <w:t>10.</w:t>
      </w:r>
      <w:r w:rsidR="00A57308">
        <w:t xml:space="preserve">000 </w:t>
      </w:r>
      <w:r w:rsidR="00F37815">
        <w:t xml:space="preserve">deeltjes per </w:t>
      </w:r>
      <w:r w:rsidR="004E2053">
        <w:t>kubieke centimeter (</w:t>
      </w:r>
      <w:r w:rsidR="00F37815">
        <w:t>cm</w:t>
      </w:r>
      <w:r w:rsidR="00F37815">
        <w:rPr>
          <w:vertAlign w:val="superscript"/>
        </w:rPr>
        <w:t>3</w:t>
      </w:r>
      <w:r w:rsidR="004E2053">
        <w:t>)</w:t>
      </w:r>
      <w:r w:rsidR="00F37815">
        <w:t xml:space="preserve">, terwijl dit voor MAA en GAE respectievelijk </w:t>
      </w:r>
      <w:r w:rsidR="00A57308">
        <w:t>circa 6.000</w:t>
      </w:r>
      <w:r w:rsidR="00F37815">
        <w:t xml:space="preserve"> en 80</w:t>
      </w:r>
      <w:r w:rsidR="00A57308">
        <w:t>0</w:t>
      </w:r>
      <w:r w:rsidR="00F37815">
        <w:t xml:space="preserve"> deeltjes per cm</w:t>
      </w:r>
      <w:r w:rsidR="00F37815">
        <w:rPr>
          <w:vertAlign w:val="superscript"/>
        </w:rPr>
        <w:t>3</w:t>
      </w:r>
      <w:r w:rsidR="00F37815">
        <w:t xml:space="preserve"> betreft. De verschillen zijn te verklaren door de grote verschillen in de aard en omvang van </w:t>
      </w:r>
      <w:r w:rsidR="00823838">
        <w:t>de luchtvaartactiviteiten</w:t>
      </w:r>
      <w:r w:rsidR="00F37815">
        <w:t xml:space="preserve"> op deze luchthavens. </w:t>
      </w:r>
      <w:r w:rsidR="001F7D56">
        <w:t xml:space="preserve">Het NLR concludeert dat ca. 50% van de uitstoot van UFP op de grond plaatsvindt. Dit gebeurt op het platform, tijdens het taxiën en de start. </w:t>
      </w:r>
      <w:r w:rsidR="002B6E7D">
        <w:t xml:space="preserve">De maximale waarden komen </w:t>
      </w:r>
      <w:r w:rsidR="001F7D56">
        <w:t xml:space="preserve">dan ook </w:t>
      </w:r>
      <w:r w:rsidR="002B6E7D">
        <w:t>in alle gevallen voor op het platform</w:t>
      </w:r>
      <w:r w:rsidR="007C74F3">
        <w:t xml:space="preserve"> rondom de vliegtuigopstelplaatsen</w:t>
      </w:r>
      <w:r w:rsidR="002B6E7D">
        <w:t>. Ook rond de taxi</w:t>
      </w:r>
      <w:r w:rsidR="0070306B">
        <w:t>- en start</w:t>
      </w:r>
      <w:r w:rsidR="002B6E7D">
        <w:t xml:space="preserve">banen worden verhoogde concentraties berekend. </w:t>
      </w:r>
      <w:r w:rsidR="0070306B">
        <w:t xml:space="preserve">Het effect van de vluchtfase is relatief beperkt, omdat emissies </w:t>
      </w:r>
      <w:r w:rsidR="0051791C">
        <w:t xml:space="preserve">van grote hoogte dermate verdund zijn dat het amper leidt tot verhoogde concentraties op leefniveau. </w:t>
      </w:r>
      <w:r w:rsidR="001F7D56">
        <w:t>Buiten het luchthaventerrein neemt de concentratie van UFP als gevolg van luchtvaartactiviteiten dan ook snel af.</w:t>
      </w:r>
    </w:p>
    <w:p w:rsidR="0070306B" w:rsidP="00F37815" w:rsidRDefault="0070306B" w14:paraId="5DAE4032" w14:textId="73914BFC"/>
    <w:p w:rsidR="00F73F8F" w:rsidP="00F73F8F" w:rsidRDefault="00CB36E9" w14:paraId="18E3300D" w14:textId="60D9C885">
      <w:r>
        <w:t xml:space="preserve">Er zijn nationaal en internationaal geen normen of richtlijnen voor de jaargemiddelde concentratie van UFP. </w:t>
      </w:r>
      <w:r w:rsidR="0070306B">
        <w:t xml:space="preserve">Het NLR heeft </w:t>
      </w:r>
      <w:r>
        <w:t xml:space="preserve">daarom </w:t>
      </w:r>
      <w:r w:rsidR="0070306B">
        <w:t>in zijn studie alleen de concentraties van UFP in beeld gebracht</w:t>
      </w:r>
      <w:r>
        <w:t xml:space="preserve"> en </w:t>
      </w:r>
      <w:r w:rsidR="0099765D">
        <w:t xml:space="preserve">wordt </w:t>
      </w:r>
      <w:r>
        <w:t xml:space="preserve">dit </w:t>
      </w:r>
      <w:r w:rsidR="0099765D">
        <w:t>niet gekoppeld aan mogelijke negatieve gezondheidseffecten op</w:t>
      </w:r>
      <w:r w:rsidR="00E21CF9">
        <w:t xml:space="preserve"> </w:t>
      </w:r>
      <w:r w:rsidR="0070306B">
        <w:t>platformmedewerkers of omwonenden van de luchthavens. Wel wordt geconstateerd dat</w:t>
      </w:r>
      <w:r w:rsidR="004A2F62">
        <w:t xml:space="preserve"> de bijdrage van luchtvaart ten opzichte van de concentratie door andere bronnen snel afneemt </w:t>
      </w:r>
      <w:r w:rsidR="00F73F8F">
        <w:t xml:space="preserve">naarmate de afstand tot de luchthaven </w:t>
      </w:r>
      <w:r w:rsidR="00EF3838">
        <w:t>groter wordt</w:t>
      </w:r>
      <w:r w:rsidR="00F73F8F">
        <w:t>.</w:t>
      </w:r>
      <w:r w:rsidR="0099765D">
        <w:t xml:space="preserve"> </w:t>
      </w:r>
    </w:p>
    <w:p w:rsidR="0070306B" w:rsidP="00F73F8F" w:rsidRDefault="0070306B" w14:paraId="234CAEAF" w14:textId="77777777"/>
    <w:p w:rsidRPr="0070306B" w:rsidR="00647428" w:rsidP="00647428" w:rsidRDefault="00647428" w14:paraId="127B1FF0" w14:textId="72A0F10F">
      <w:pPr>
        <w:rPr>
          <w:i/>
          <w:iCs/>
        </w:rPr>
      </w:pPr>
      <w:r w:rsidRPr="0070306B">
        <w:rPr>
          <w:i/>
          <w:iCs/>
        </w:rPr>
        <w:t>Reactie ministerie</w:t>
      </w:r>
    </w:p>
    <w:p w:rsidR="001F41DB" w:rsidP="00647428" w:rsidRDefault="002600C2" w14:paraId="2AF6A86F" w14:textId="6B938974">
      <w:r>
        <w:t xml:space="preserve">De uitstoot van UFP door luchtvaartactiviteiten </w:t>
      </w:r>
      <w:r w:rsidR="00F73F8F">
        <w:t>zorgt voor hogere concentraties</w:t>
      </w:r>
      <w:r>
        <w:t xml:space="preserve"> ten opzichte van de achtergrondconcentratie op het luchthaventerrein. Dit is een belangrijk signaal voor de bescherming van de gezondheid van medewerkers van de luchthaven. In het Luchthavenverkeersbesluit Schiphol en het ontwerp-Luchthavenbesluit Eelde zijn maatregelen opgenomen ter verbetering van de luchtkwaliteit op en rond de luchthaven. </w:t>
      </w:r>
      <w:r w:rsidR="001F41DB">
        <w:t xml:space="preserve">Het gaat om het verminderen van het gebruik van de hulpmotor (APU) door het aanbieden van alternatieve bronnen voor elektriciteit en geconditioneerde lucht, en het voorschrijven van het taxiën op één motor. </w:t>
      </w:r>
      <w:r>
        <w:t xml:space="preserve">Deze maatregelen zullen </w:t>
      </w:r>
      <w:r w:rsidR="00A42538">
        <w:t xml:space="preserve">naar verwachting </w:t>
      </w:r>
      <w:r>
        <w:t xml:space="preserve">ook bijdragen aan een verlaging van de uitstoot van UFP. </w:t>
      </w:r>
    </w:p>
    <w:p w:rsidR="001F41DB" w:rsidP="00647428" w:rsidRDefault="001F41DB" w14:paraId="00C4D636" w14:textId="77777777"/>
    <w:p w:rsidR="002600C2" w:rsidP="00647428" w:rsidRDefault="001F41DB" w14:paraId="0E5425ED" w14:textId="7CA56781">
      <w:r>
        <w:t>Op dit moment zijn er nog geen normen of richtlijnen voor UFP-concentraties. In de Kamerbrief van het ministerie van SZW van 28 januari 2025</w:t>
      </w:r>
      <w:r>
        <w:rPr>
          <w:rStyle w:val="FootnoteReference"/>
        </w:rPr>
        <w:footnoteReference w:id="6"/>
      </w:r>
      <w:r>
        <w:t xml:space="preserve"> wordt aangegeven dat de Gezondheidsraad in het tweede kwartaal van 2026 een uitspraak kan doen over een mogelijke grenswaarde voor UFP. </w:t>
      </w:r>
      <w:r w:rsidR="007C74F3">
        <w:t xml:space="preserve">Als meer bekend is over de gezondheidsimpact van UFP voor de </w:t>
      </w:r>
      <w:r w:rsidR="00F73F8F">
        <w:t>platform</w:t>
      </w:r>
      <w:r w:rsidR="00C66B96">
        <w:t>-</w:t>
      </w:r>
      <w:r w:rsidR="007C74F3">
        <w:t xml:space="preserve">medewerkers </w:t>
      </w:r>
      <w:r w:rsidR="00F73F8F">
        <w:t>wordt bezien</w:t>
      </w:r>
      <w:r w:rsidR="007C74F3">
        <w:t xml:space="preserve"> of aanvullende maatregelen nodig zijn. </w:t>
      </w:r>
      <w:r w:rsidR="00F73F8F">
        <w:t xml:space="preserve">Dit geldt ook voor de gezondheidsimpact voor bewoners van omliggende woonwijken, ook al is de concentratie van UFP door luchtvaartactiviteiten hier nadrukkelijk lager dan op het luchthaventerrein. </w:t>
      </w:r>
    </w:p>
    <w:p w:rsidR="00D90C91" w:rsidP="002600C2" w:rsidRDefault="00D90C91" w14:paraId="77EADC5E" w14:textId="77777777"/>
    <w:p w:rsidR="00C66B96" w:rsidRDefault="00C66B96" w14:paraId="3C6FBAC6" w14:textId="77777777">
      <w:pPr>
        <w:spacing w:line="240" w:lineRule="auto"/>
        <w:rPr>
          <w:b/>
          <w:bCs/>
        </w:rPr>
      </w:pPr>
      <w:r>
        <w:rPr>
          <w:b/>
          <w:bCs/>
        </w:rPr>
        <w:br w:type="page"/>
      </w:r>
    </w:p>
    <w:p w:rsidR="00D90C91" w:rsidP="00D90C91" w:rsidRDefault="00D90C91" w14:paraId="377B036F" w14:textId="27A33D34">
      <w:pPr>
        <w:rPr>
          <w:b/>
          <w:bCs/>
        </w:rPr>
      </w:pPr>
      <w:r>
        <w:rPr>
          <w:b/>
          <w:bCs/>
        </w:rPr>
        <w:t xml:space="preserve">Rekenmethode emissies </w:t>
      </w:r>
    </w:p>
    <w:p w:rsidR="00EB303F" w:rsidP="00D90C91" w:rsidRDefault="00EB303F" w14:paraId="5203D317" w14:textId="77E914BB">
      <w:r>
        <w:t>In december 2023</w:t>
      </w:r>
      <w:r w:rsidR="005E4B31">
        <w:rPr>
          <w:rStyle w:val="FootnoteReference"/>
        </w:rPr>
        <w:footnoteReference w:id="7"/>
      </w:r>
      <w:r>
        <w:t xml:space="preserve"> </w:t>
      </w:r>
      <w:r w:rsidR="00A42538">
        <w:t>is de Kamer</w:t>
      </w:r>
      <w:r>
        <w:t xml:space="preserve"> geïnformeerd over de ontwikkeling van een uniforme rekenmethode voor luchtvaartemissies.</w:t>
      </w:r>
      <w:r w:rsidR="00D90C91">
        <w:t xml:space="preserve"> </w:t>
      </w:r>
    </w:p>
    <w:p w:rsidR="00EB303F" w:rsidP="00D90C91" w:rsidRDefault="00EB303F" w14:paraId="0023B5EF" w14:textId="77777777"/>
    <w:p w:rsidR="00A42538" w:rsidP="004C0CC6" w:rsidRDefault="00D90C91" w14:paraId="15CF74B0" w14:textId="26512313">
      <w:r>
        <w:t xml:space="preserve">Om de kwaliteit en de toepasbaarheid van de nieuwe methode te borgen heeft een peer review plaatsgevonden. Hierbij is aan verschillende luchtvaartadviesbureaus – die </w:t>
      </w:r>
      <w:r w:rsidR="007C74F3">
        <w:t xml:space="preserve">in de toekomst </w:t>
      </w:r>
      <w:r>
        <w:t xml:space="preserve">mogelijk gebruik maken van de rekenmethode – gevraagd de ontwikkelde methode te beoordelen. </w:t>
      </w:r>
      <w:r w:rsidR="004C0CC6">
        <w:t xml:space="preserve">Na afstemming met de betrokken partijen heeft de opsteller (To70) enkele aanpassingen gedaan. Hierdoor is het draagvlak voor de uniforme rekenmethode verhoogd. </w:t>
      </w:r>
      <w:r w:rsidR="00F73F8F">
        <w:t xml:space="preserve">De </w:t>
      </w:r>
      <w:r w:rsidR="00C720B1">
        <w:t xml:space="preserve">definitieve </w:t>
      </w:r>
      <w:r w:rsidR="00F73F8F">
        <w:t xml:space="preserve">methode </w:t>
      </w:r>
      <w:r w:rsidR="00EB303F">
        <w:t xml:space="preserve">is bijgevoegd in </w:t>
      </w:r>
      <w:r w:rsidRPr="00A42538" w:rsidR="00EB303F">
        <w:t>Bijlage 2.</w:t>
      </w:r>
    </w:p>
    <w:p w:rsidRPr="00A42538" w:rsidR="00E63750" w:rsidP="00EB303F" w:rsidRDefault="00EB303F" w14:paraId="732994DC" w14:textId="149E3E79">
      <w:r w:rsidRPr="00A42538">
        <w:t xml:space="preserve"> </w:t>
      </w:r>
    </w:p>
    <w:p w:rsidR="00EB303F" w:rsidP="00EB303F" w:rsidRDefault="00E63750" w14:paraId="7237191B" w14:textId="7AA29CA1">
      <w:pPr>
        <w:rPr>
          <w:i/>
          <w:iCs/>
        </w:rPr>
      </w:pPr>
      <w:r w:rsidRPr="00A42538">
        <w:t>Het doel van deze methode is om</w:t>
      </w:r>
      <w:r>
        <w:t xml:space="preserve"> bij toekomstig onderzoek </w:t>
      </w:r>
      <w:r w:rsidR="004C0CC6">
        <w:t xml:space="preserve">bij verschillende bureaus, </w:t>
      </w:r>
      <w:r w:rsidR="00CF0E7B">
        <w:t xml:space="preserve">uit te gaan van dezelfde rekenmethode en achterliggende gegevens. </w:t>
      </w:r>
      <w:r w:rsidR="004C0CC6">
        <w:t>B</w:t>
      </w:r>
      <w:r>
        <w:t>ijvoorbeeld in milieuonderzoeken ter voorbereiding van een nieuw besluit</w:t>
      </w:r>
      <w:r w:rsidR="004C0CC6">
        <w:t xml:space="preserve"> is dit relevant</w:t>
      </w:r>
      <w:r w:rsidR="00CF0E7B">
        <w:t xml:space="preserve">. </w:t>
      </w:r>
      <w:r>
        <w:t>Dit maakt dat resultaten onderling goed vergelijkbaar tussen de verschillende luchthavens.</w:t>
      </w:r>
    </w:p>
    <w:p w:rsidR="00EB303F" w:rsidRDefault="00EB303F" w14:paraId="4BE37922" w14:textId="77777777">
      <w:pPr>
        <w:pStyle w:val="WitregelW1bodytekst"/>
      </w:pPr>
    </w:p>
    <w:p w:rsidR="00EB303F" w:rsidRDefault="00EB303F" w14:paraId="25FBFB52" w14:textId="5B56419E">
      <w:pPr>
        <w:pStyle w:val="WitregelW1bodytekst"/>
        <w:rPr>
          <w:b/>
          <w:bCs/>
        </w:rPr>
      </w:pPr>
      <w:r>
        <w:rPr>
          <w:b/>
          <w:bCs/>
        </w:rPr>
        <w:t>Manifest Gezondheid en Luchtvaart</w:t>
      </w:r>
      <w:r w:rsidR="00875F9A">
        <w:rPr>
          <w:b/>
          <w:bCs/>
        </w:rPr>
        <w:t xml:space="preserve"> en advies Maatschappelijke Raad Schiphol (MRS)</w:t>
      </w:r>
    </w:p>
    <w:p w:rsidR="00CB2E66" w:rsidRDefault="007909C7" w14:paraId="764A3E1D" w14:textId="71D90C0D">
      <w:pPr>
        <w:pStyle w:val="WitregelW1bodytekst"/>
      </w:pPr>
      <w:r w:rsidRPr="007156FC">
        <w:t xml:space="preserve">In de samenleving is de afgelopen jaren </w:t>
      </w:r>
      <w:r w:rsidR="00A42538">
        <w:t>steeds meer</w:t>
      </w:r>
      <w:r w:rsidRPr="007156FC">
        <w:t xml:space="preserve"> aandacht voor de gezondheidseffecten van luchtvaart. </w:t>
      </w:r>
      <w:r w:rsidRPr="00EB303F" w:rsidR="00EB303F">
        <w:t xml:space="preserve">Op </w:t>
      </w:r>
      <w:r w:rsidR="00EB303F">
        <w:t xml:space="preserve">10 september 2025 is het </w:t>
      </w:r>
      <w:r w:rsidR="00BD0D9E">
        <w:t>“M</w:t>
      </w:r>
      <w:r w:rsidR="00EB303F">
        <w:t xml:space="preserve">anifest Gezondheid en Luchtvaart” aan de Kamer aangeboden </w:t>
      </w:r>
      <w:r w:rsidR="00216B8F">
        <w:t>namens</w:t>
      </w:r>
      <w:r w:rsidR="00EB303F">
        <w:t xml:space="preserve"> een aantal maatschappelijke organisaties. Hierin worden zorgen geuit die in de samenleving leven over de negatieve effecten van luchtvaart op de gezondheid van omwonenden. In het manifest</w:t>
      </w:r>
      <w:r w:rsidR="001211CA">
        <w:t>, wat als Bijlage 3 is meegezonden met deze brief,</w:t>
      </w:r>
      <w:r w:rsidR="00EB303F">
        <w:t xml:space="preserve"> wordt opgeroepen </w:t>
      </w:r>
      <w:r w:rsidR="00CF0E7B">
        <w:t xml:space="preserve">om </w:t>
      </w:r>
      <w:r w:rsidR="00EB303F">
        <w:t>een onafhankelijk advies te vragen aan de Gezondheidsraad.</w:t>
      </w:r>
      <w:r w:rsidR="00301604">
        <w:t xml:space="preserve"> Op 3 september 2025 heeft ook de Maatschappelijke Raad Schiphol (MRS) een brief</w:t>
      </w:r>
      <w:r w:rsidR="00A42538">
        <w:t xml:space="preserve"> aan </w:t>
      </w:r>
      <w:r w:rsidR="00CF0E7B">
        <w:t>het ministerie</w:t>
      </w:r>
      <w:r w:rsidR="00301604">
        <w:t xml:space="preserve"> gestuurd met een</w:t>
      </w:r>
      <w:r w:rsidR="00EF3838">
        <w:t xml:space="preserve"> vergelijkbaar</w:t>
      </w:r>
      <w:r w:rsidR="00301604">
        <w:t xml:space="preserve"> verzoek</w:t>
      </w:r>
      <w:r w:rsidR="00EF3838">
        <w:t>, om de Gezondheidsraad een advies te laten uitbrengen met betrekking tot de gezondheidseffecten van Schiphol</w:t>
      </w:r>
      <w:r w:rsidR="00875F9A">
        <w:t xml:space="preserve"> (in Bijlage 4)</w:t>
      </w:r>
      <w:r w:rsidR="00EF3838">
        <w:t xml:space="preserve">. De MRS geeft aan dat de context rondom de luchthaven zodanig is veranderd (toename in vluchten en aantal woningen in de regio) dat zij een integrale beschouwing van de cumulatieve gezondheidseffecten </w:t>
      </w:r>
      <w:r w:rsidR="001A7423">
        <w:t xml:space="preserve">door luchtvaart </w:t>
      </w:r>
      <w:r w:rsidR="00EF3838">
        <w:t>als noodzakelijk zien.</w:t>
      </w:r>
    </w:p>
    <w:p w:rsidR="00C75C9F" w:rsidP="00C75C9F" w:rsidRDefault="00C75C9F" w14:paraId="6F5C68D4" w14:textId="77777777"/>
    <w:p w:rsidRPr="001211CA" w:rsidR="001A7423" w:rsidP="00F513ED" w:rsidRDefault="001A7423" w14:paraId="5E96B4A2" w14:textId="05FF6444">
      <w:pPr>
        <w:rPr>
          <w:i/>
          <w:iCs/>
        </w:rPr>
      </w:pPr>
      <w:r w:rsidRPr="001211CA">
        <w:rPr>
          <w:i/>
          <w:iCs/>
        </w:rPr>
        <w:t>Reactie ministerie</w:t>
      </w:r>
    </w:p>
    <w:p w:rsidR="00C75C9F" w:rsidP="00F513ED" w:rsidRDefault="00EF3838" w14:paraId="472E8487" w14:textId="08747530">
      <w:r>
        <w:t>De impact van luchtvaartemissies, luchtkwaliteit en gezondheid hebben de afgelopen jaren in onderzoek veel aandacht gekregen.</w:t>
      </w:r>
      <w:r w:rsidR="007909C7">
        <w:t xml:space="preserve"> </w:t>
      </w:r>
      <w:r w:rsidR="00E96481">
        <w:t>I</w:t>
      </w:r>
      <w:r w:rsidR="00C75C9F">
        <w:t xml:space="preserve">n de afgelopen jaren zijn een aantal onderzoeken naar de bijdrage van luchtvaart aan de lokale luchtkwaliteit </w:t>
      </w:r>
      <w:r w:rsidR="00E96481">
        <w:t>afgerond.</w:t>
      </w:r>
      <w:r w:rsidR="000F381E">
        <w:t xml:space="preserve"> </w:t>
      </w:r>
      <w:r w:rsidR="005870CC">
        <w:t>Zo heeft het RIVM in 2022</w:t>
      </w:r>
      <w:r w:rsidR="005870CC">
        <w:rPr>
          <w:rStyle w:val="FootnoteReference"/>
        </w:rPr>
        <w:footnoteReference w:id="8"/>
      </w:r>
      <w:r w:rsidR="00CC011C">
        <w:t xml:space="preserve"> de resultaten van een vijfjarig onderzoek over de gezondheidseffecten van ultrafijnstof door luchtvaart uitgebracht. Hiermee loopt Nederland internationaal voor</w:t>
      </w:r>
      <w:r w:rsidR="00473771">
        <w:t>op</w:t>
      </w:r>
      <w:r w:rsidR="00CC011C">
        <w:t xml:space="preserve"> als het gaat om onderzoek naar de effecten van </w:t>
      </w:r>
      <w:r w:rsidR="00473771">
        <w:t>UFP door luchtvaart</w:t>
      </w:r>
      <w:r w:rsidR="00CC011C">
        <w:t xml:space="preserve"> op de gezondheid. </w:t>
      </w:r>
      <w:r w:rsidR="00473771">
        <w:t>Daarnaast zijn er verschillende onderzoeken uitgevoerd naar de bijdrage van andere luchtverontreinigende stoffen van luchtvaart aan de lokale luchtkwaliteit rond luchthavens</w:t>
      </w:r>
      <w:r w:rsidR="00130F64">
        <w:rPr>
          <w:rStyle w:val="FootnoteReference"/>
        </w:rPr>
        <w:footnoteReference w:id="9"/>
      </w:r>
      <w:r w:rsidR="00473771">
        <w:t xml:space="preserve">. </w:t>
      </w:r>
      <w:r w:rsidR="001A7423">
        <w:t xml:space="preserve">Uit </w:t>
      </w:r>
      <w:r w:rsidR="00CC011C">
        <w:t>de</w:t>
      </w:r>
      <w:r w:rsidR="001D467A">
        <w:t>ze</w:t>
      </w:r>
      <w:r w:rsidR="00CC011C">
        <w:t xml:space="preserve"> onderzoeken lijkt te volgen dat d</w:t>
      </w:r>
      <w:r w:rsidRPr="000F381E" w:rsidR="00CC011C">
        <w:t>e luchtvaart beperkt bij</w:t>
      </w:r>
      <w:r w:rsidR="00CC011C">
        <w:t>draagt</w:t>
      </w:r>
      <w:r w:rsidRPr="000F381E" w:rsidR="00CC011C">
        <w:t xml:space="preserve"> aan luchtverontreiniging rondom luchthavens</w:t>
      </w:r>
      <w:r>
        <w:t xml:space="preserve">. </w:t>
      </w:r>
      <w:r w:rsidR="001A7423">
        <w:t xml:space="preserve">Deze resultaten zijn onafhankelijk getoetst door experts. </w:t>
      </w:r>
      <w:r>
        <w:t>De experts hebben over het initiële onderzoek geoordeeld dat duidelijker moet worden onderbouwd waarom bepaalde stoffen wel en niet onderzocht zijn</w:t>
      </w:r>
      <w:r w:rsidR="00130F64">
        <w:rPr>
          <w:rStyle w:val="FootnoteReference"/>
        </w:rPr>
        <w:footnoteReference w:id="10"/>
      </w:r>
      <w:r>
        <w:t>. Op dit moment loopt nog vervolgonderzoek naar aanleiding van de bevindingen van de expertgroep</w:t>
      </w:r>
      <w:r w:rsidRPr="00EF3838">
        <w:t>.</w:t>
      </w:r>
      <w:r>
        <w:t xml:space="preserve"> Naast de resultaten van de genoemde onderzoeken laten de </w:t>
      </w:r>
      <w:r w:rsidR="00C75C9F">
        <w:t>resultaten van berekeningen die het RIVM</w:t>
      </w:r>
      <w:r w:rsidR="000E1D98">
        <w:t xml:space="preserve"> heeft uitgevoerd</w:t>
      </w:r>
      <w:r w:rsidR="00C75C9F">
        <w:t xml:space="preserve"> in het kader van het Schone Lucht Akkoord (SLA) zien dat de bijdrage van luchtvaart</w:t>
      </w:r>
      <w:r w:rsidR="00776AD9">
        <w:t>emissies</w:t>
      </w:r>
      <w:r w:rsidR="00C75C9F">
        <w:t xml:space="preserve"> aan het gemiddelde levensduurverlies in Nederland beperkt is</w:t>
      </w:r>
      <w:r w:rsidR="000E1D98">
        <w:rPr>
          <w:rStyle w:val="FootnoteReference"/>
        </w:rPr>
        <w:footnoteReference w:id="11"/>
      </w:r>
      <w:r w:rsidR="00C75C9F">
        <w:t xml:space="preserve">. </w:t>
      </w:r>
      <w:r w:rsidR="000E1D98">
        <w:t>Daarbij</w:t>
      </w:r>
      <w:r w:rsidR="00C75C9F">
        <w:t xml:space="preserve"> gaat</w:t>
      </w:r>
      <w:r w:rsidR="000E1D98">
        <w:t xml:space="preserve"> het</w:t>
      </w:r>
      <w:r w:rsidR="00C75C9F">
        <w:t xml:space="preserve"> in het kader van </w:t>
      </w:r>
      <w:r w:rsidR="000E1D98">
        <w:t xml:space="preserve">het </w:t>
      </w:r>
      <w:r w:rsidR="00C75C9F">
        <w:t>SLA, naast stikstofdioxide, om de bijdrage fijnstof (PM</w:t>
      </w:r>
      <w:r w:rsidRPr="003A1BB3" w:rsidR="00C75C9F">
        <w:rPr>
          <w:vertAlign w:val="subscript"/>
        </w:rPr>
        <w:t>10</w:t>
      </w:r>
      <w:r w:rsidR="00C75C9F">
        <w:t>/PM</w:t>
      </w:r>
      <w:r w:rsidRPr="003A1BB3" w:rsidR="00C75C9F">
        <w:rPr>
          <w:vertAlign w:val="subscript"/>
        </w:rPr>
        <w:t>2.5</w:t>
      </w:r>
      <w:r w:rsidR="00C75C9F">
        <w:t>).</w:t>
      </w:r>
      <w:r w:rsidR="000E1D98">
        <w:t xml:space="preserve"> </w:t>
      </w:r>
    </w:p>
    <w:p w:rsidR="00C75C9F" w:rsidP="00C75C9F" w:rsidRDefault="00C75C9F" w14:paraId="5E9EFE17" w14:textId="77777777"/>
    <w:p w:rsidR="00C75C9F" w:rsidP="00527E31" w:rsidRDefault="00EF3838" w14:paraId="1486AA66" w14:textId="7A12C1A7">
      <w:r>
        <w:t>Voor</w:t>
      </w:r>
      <w:r w:rsidR="000E1D98">
        <w:t xml:space="preserve"> de negatieve effecten van vliegtuiggeluid</w:t>
      </w:r>
      <w:r w:rsidR="00523E3B">
        <w:t xml:space="preserve"> is </w:t>
      </w:r>
      <w:r>
        <w:t>ook veel aandacht geweest in onderzoeken</w:t>
      </w:r>
      <w:r w:rsidR="00523E3B">
        <w:t>.</w:t>
      </w:r>
      <w:r w:rsidR="00C75C9F">
        <w:t xml:space="preserve"> </w:t>
      </w:r>
      <w:r w:rsidR="00523E3B">
        <w:t xml:space="preserve">Zowel nationaal als internationaal wordt veel onderzoek uitgevoerd naar de hinderbeleving door vliegtuiggeluid. In 2018 heeft de Wereldgezondheidsorganisatie </w:t>
      </w:r>
      <w:r w:rsidR="00FB4E42">
        <w:t>(</w:t>
      </w:r>
      <w:r w:rsidR="00523E3B">
        <w:t>WHO</w:t>
      </w:r>
      <w:r w:rsidR="00FB4E42">
        <w:t>)</w:t>
      </w:r>
      <w:r w:rsidR="00523E3B">
        <w:t xml:space="preserve"> nieuwe richtlijnen voor omgevingslawaai </w:t>
      </w:r>
      <w:r w:rsidR="00527E31">
        <w:t xml:space="preserve">gepubliceerd. Ook in Nederland wordt </w:t>
      </w:r>
      <w:r>
        <w:t>aan vliegtuiggeluid</w:t>
      </w:r>
      <w:r w:rsidR="00527E31">
        <w:t xml:space="preserve"> veel aandacht besteed. Zo is in de Programmatische Aanpak Meten van Vliegtuiggeluid (PAMV) veel aandacht geweest voor hinder en hinderbeleving en wordt in </w:t>
      </w:r>
      <w:r w:rsidR="00C75C9F">
        <w:t xml:space="preserve">de vierjaarlijkse landelijke Gezondheidsmonitor van de GGD specifiek aandacht </w:t>
      </w:r>
      <w:r w:rsidR="00527E31">
        <w:t>besteed aan</w:t>
      </w:r>
      <w:r w:rsidR="00C75C9F">
        <w:t xml:space="preserve"> hinder en slaapverstoring door vliegtuiggeluid</w:t>
      </w:r>
      <w:r w:rsidR="001A7423">
        <w:rPr>
          <w:rStyle w:val="FootnoteReference"/>
        </w:rPr>
        <w:footnoteReference w:id="12"/>
      </w:r>
      <w:r w:rsidR="00C75C9F">
        <w:t>. De laatste</w:t>
      </w:r>
    </w:p>
    <w:p w:rsidR="00C75C9F" w:rsidP="00C75C9F" w:rsidRDefault="00C75C9F" w14:paraId="6FAD888C" w14:textId="41F3A0B5">
      <w:r>
        <w:t>Gezondheidsmonitor is uitgevoerd in 202</w:t>
      </w:r>
      <w:r w:rsidR="00DB5076">
        <w:t>4</w:t>
      </w:r>
      <w:r w:rsidR="00DB5076">
        <w:rPr>
          <w:rStyle w:val="FootnoteReference"/>
        </w:rPr>
        <w:footnoteReference w:id="13"/>
      </w:r>
      <w:r>
        <w:t>.</w:t>
      </w:r>
    </w:p>
    <w:p w:rsidR="00FB7C36" w:rsidP="00B2578C" w:rsidRDefault="00FB7C36" w14:paraId="04DA1A83" w14:textId="77777777"/>
    <w:p w:rsidR="00654B0F" w:rsidP="00FB7C36" w:rsidRDefault="005870CC" w14:paraId="32BC2127" w14:textId="78B4AB63">
      <w:r>
        <w:t>Het huidige kabinetsbeleid is er</w:t>
      </w:r>
      <w:r w:rsidR="00654B0F">
        <w:t xml:space="preserve"> </w:t>
      </w:r>
      <w:r>
        <w:t>op gericht de negatieve gezondheidseffecten van lucht</w:t>
      </w:r>
      <w:r w:rsidR="00B51E6F">
        <w:t>v</w:t>
      </w:r>
      <w:r>
        <w:t>aart te verminderen, en een nieuwe balans te vinden tussen de kwaliteit van de leefomgeving en de kwaliteit van het netwerk van internationale verbindingen.</w:t>
      </w:r>
      <w:r w:rsidR="00654B0F">
        <w:t xml:space="preserve"> </w:t>
      </w:r>
      <w:r w:rsidR="00FB7C36">
        <w:t xml:space="preserve">Bij zowel Schiphol als de regionale luchthavens van nationale betekenis wordt ingezet op een afname van de geluidbelasting door </w:t>
      </w:r>
      <w:r w:rsidR="00DB5076">
        <w:t xml:space="preserve">onder andere </w:t>
      </w:r>
      <w:r w:rsidR="00FB7C36">
        <w:t>te sturen op vlootvernieuwing. Verder worden er gericht maatregelen getroffen die bijdragen aan de verbetering van de lokale luchtkwaliteit</w:t>
      </w:r>
      <w:r w:rsidR="00654B0F">
        <w:t xml:space="preserve"> en de beperking van hinder in de omgeving</w:t>
      </w:r>
      <w:r w:rsidR="00FB7C36">
        <w:t>.</w:t>
      </w:r>
    </w:p>
    <w:p w:rsidR="00654B0F" w:rsidP="00FB7C36" w:rsidRDefault="00654B0F" w14:paraId="62C1BCD7" w14:textId="77777777"/>
    <w:p w:rsidR="00654B0F" w:rsidP="00654B0F" w:rsidRDefault="00654B0F" w14:paraId="6BCD0108" w14:textId="0F37298F">
      <w:r>
        <w:t xml:space="preserve">Een schone en veilige leefomgeving blijft van groot belang voor de volksgezondheid. De Gezondheidsraad speelt een belangrijke rol in het adviseren van de regering, en draagt daarmee bij aan de verbetering van het luchtvaartbeleid. Zo heeft de Gezondheidsraad op 15 september 2021 op verzoek van IenW nog een advies uitgebracht over de </w:t>
      </w:r>
      <w:r w:rsidR="004737BD">
        <w:t>risico’s</w:t>
      </w:r>
      <w:r>
        <w:t xml:space="preserve"> van ultrafijnstof</w:t>
      </w:r>
      <w:r w:rsidR="004737BD">
        <w:t xml:space="preserve"> in de buitenlucht</w:t>
      </w:r>
      <w:r>
        <w:rPr>
          <w:rStyle w:val="FootnoteReference"/>
        </w:rPr>
        <w:footnoteReference w:id="14"/>
      </w:r>
      <w:r>
        <w:t>, en volgt in het tweede kwartaal van 2026 een advies over een mogelijke gezondheidskundige grenswaarde voor UFP. Adviezen van de Gezondheidsraad betreffen vaak complexe vraagstukken waarvoor niet altijd eenduidige antwoorden beschikbaar zijn, en waarvoor het wetenschappelijk bewijs in de regel (nog) beperkt is.</w:t>
      </w:r>
    </w:p>
    <w:p w:rsidR="00FB4E42" w:rsidP="00654B0F" w:rsidRDefault="00FB4E42" w14:paraId="057F81E1" w14:textId="77777777"/>
    <w:p w:rsidR="007A7F54" w:rsidP="00FB7C36" w:rsidRDefault="00654B0F" w14:paraId="121FEA75" w14:textId="5EFBC6E1">
      <w:r>
        <w:t xml:space="preserve">Daarom </w:t>
      </w:r>
      <w:r w:rsidR="00FB7C36">
        <w:t>wordt</w:t>
      </w:r>
      <w:r>
        <w:t xml:space="preserve"> </w:t>
      </w:r>
      <w:r w:rsidR="00FB7C36">
        <w:t xml:space="preserve">ingezet op verder onderzoek, met name gericht </w:t>
      </w:r>
      <w:r w:rsidR="007A7F54">
        <w:t xml:space="preserve">op de </w:t>
      </w:r>
      <w:r w:rsidR="00742B22">
        <w:t xml:space="preserve">relatieve bijdrage </w:t>
      </w:r>
      <w:r w:rsidR="007A7F54">
        <w:t xml:space="preserve">van </w:t>
      </w:r>
      <w:r w:rsidR="00DB5076">
        <w:t>luchtvaart</w:t>
      </w:r>
      <w:r w:rsidR="007A7F54">
        <w:t>emissies. Om de zorgvuldigheid voor het ontwikkelen van verder beleid ter vermindering van de gezondheidseffecten</w:t>
      </w:r>
      <w:r w:rsidR="00DB5076">
        <w:t xml:space="preserve"> te borgen</w:t>
      </w:r>
      <w:r w:rsidR="007A7F54">
        <w:t xml:space="preserve"> is het van belang de resultaten van deze onderzoeken af te wachten. De resultaten van </w:t>
      </w:r>
      <w:r w:rsidR="00742B22">
        <w:t xml:space="preserve">het </w:t>
      </w:r>
      <w:r w:rsidR="007A7F54">
        <w:t>lopend</w:t>
      </w:r>
      <w:r w:rsidR="00742B22">
        <w:t>e</w:t>
      </w:r>
      <w:r w:rsidR="007A7F54">
        <w:t xml:space="preserve"> onderzoek word</w:t>
      </w:r>
      <w:r w:rsidR="00742B22">
        <w:t>en</w:t>
      </w:r>
      <w:r w:rsidR="007A7F54">
        <w:t xml:space="preserve"> in de eerste helft van 2026 verwacht. </w:t>
      </w:r>
      <w:r w:rsidR="001A7423">
        <w:t xml:space="preserve">Daarmee </w:t>
      </w:r>
      <w:r w:rsidR="008E7F44">
        <w:t>heeft</w:t>
      </w:r>
      <w:r w:rsidR="001A7423">
        <w:t xml:space="preserve"> een onafhankelijk advies van de Gezondheidsraad nu </w:t>
      </w:r>
      <w:r w:rsidR="008E7F44">
        <w:t>geen meerwaarde</w:t>
      </w:r>
      <w:r w:rsidR="001A7423">
        <w:t xml:space="preserve">. </w:t>
      </w:r>
      <w:r w:rsidR="007A7F54">
        <w:t xml:space="preserve">De </w:t>
      </w:r>
      <w:r w:rsidR="00966BC6">
        <w:t>K</w:t>
      </w:r>
      <w:r w:rsidR="007A7F54">
        <w:t xml:space="preserve">amer zal hier </w:t>
      </w:r>
      <w:r w:rsidR="00302850">
        <w:t>zodra de resultaten beschikbaar zijn</w:t>
      </w:r>
      <w:r w:rsidR="007A7F54">
        <w:t xml:space="preserve"> nader over </w:t>
      </w:r>
      <w:r w:rsidR="00DB5076">
        <w:t xml:space="preserve">worden </w:t>
      </w:r>
      <w:r w:rsidR="007A7F54">
        <w:t>geïnformeerd. Wanneer deze resultaten beschikbaar</w:t>
      </w:r>
      <w:r w:rsidR="00EA64FC">
        <w:t xml:space="preserve"> </w:t>
      </w:r>
      <w:r>
        <w:t xml:space="preserve">zijn </w:t>
      </w:r>
      <w:r w:rsidR="00EA64FC">
        <w:t xml:space="preserve">zal het kabinet </w:t>
      </w:r>
      <w:r w:rsidR="004534CE">
        <w:t>bezien welke vervolgstappen nodig zijn. Hierbij wordt nogmaals overwogen of een onafhankelijk advies van de Gezondheidsraad meerwaarde biedt</w:t>
      </w:r>
      <w:r w:rsidR="007A7F54">
        <w:t>.</w:t>
      </w:r>
    </w:p>
    <w:p w:rsidR="00FB7C36" w:rsidP="00B2578C" w:rsidRDefault="00FB7C36" w14:paraId="2156F1B4" w14:textId="77777777"/>
    <w:p w:rsidR="00CB2E66" w:rsidRDefault="00C27A8B" w14:paraId="193DE303" w14:textId="77777777">
      <w:pPr>
        <w:pStyle w:val="Slotzin"/>
      </w:pPr>
      <w:r>
        <w:t>Hoogachtend,</w:t>
      </w:r>
    </w:p>
    <w:p w:rsidR="00CB2E66" w:rsidRDefault="00C27A8B" w14:paraId="763AA2F5" w14:textId="77777777">
      <w:pPr>
        <w:pStyle w:val="OndertekeningArea1"/>
      </w:pPr>
      <w:r>
        <w:t>DE MINISTER VAN INFRASTRUCTUUR EN WATERSTAAT,</w:t>
      </w:r>
    </w:p>
    <w:p w:rsidR="00CB2E66" w:rsidRDefault="00CB2E66" w14:paraId="428A8C09" w14:textId="77777777"/>
    <w:p w:rsidR="00CB2E66" w:rsidRDefault="00CB2E66" w14:paraId="582B18FF" w14:textId="77777777"/>
    <w:p w:rsidR="00CB2E66" w:rsidRDefault="00CB2E66" w14:paraId="086AE5C7" w14:textId="77777777"/>
    <w:p w:rsidR="00CB2E66" w:rsidRDefault="00CB2E66" w14:paraId="07FDAF6E" w14:textId="77777777"/>
    <w:p w:rsidR="00CB2E66" w:rsidRDefault="00C27A8B" w14:paraId="2A3FC1EA" w14:textId="77777777">
      <w:r>
        <w:t>ing. R. (Robert) Tieman</w:t>
      </w:r>
    </w:p>
    <w:sectPr w:rsidR="00CB2E6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8B8E9" w14:textId="77777777" w:rsidR="00826838" w:rsidRDefault="00826838">
      <w:pPr>
        <w:spacing w:line="240" w:lineRule="auto"/>
      </w:pPr>
      <w:r>
        <w:separator/>
      </w:r>
    </w:p>
  </w:endnote>
  <w:endnote w:type="continuationSeparator" w:id="0">
    <w:p w14:paraId="4E5F5835" w14:textId="77777777" w:rsidR="00826838" w:rsidRDefault="00826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Klee One"/>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AE59" w14:textId="77777777" w:rsidR="004A2DD2" w:rsidRDefault="004A2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8317" w14:textId="77777777" w:rsidR="004A2DD2" w:rsidRDefault="004A2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6AB2" w14:textId="77777777" w:rsidR="004A2DD2" w:rsidRDefault="004A2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D44A3" w14:textId="77777777" w:rsidR="00826838" w:rsidRDefault="00826838">
      <w:pPr>
        <w:spacing w:line="240" w:lineRule="auto"/>
      </w:pPr>
      <w:r>
        <w:separator/>
      </w:r>
    </w:p>
  </w:footnote>
  <w:footnote w:type="continuationSeparator" w:id="0">
    <w:p w14:paraId="7DD01996" w14:textId="77777777" w:rsidR="00826838" w:rsidRDefault="00826838">
      <w:pPr>
        <w:spacing w:line="240" w:lineRule="auto"/>
      </w:pPr>
      <w:r>
        <w:continuationSeparator/>
      </w:r>
    </w:p>
  </w:footnote>
  <w:footnote w:id="1">
    <w:p w14:paraId="540EA7A8" w14:textId="59AA0FDD" w:rsidR="00913BC2" w:rsidRPr="004E2053" w:rsidRDefault="00913BC2">
      <w:pPr>
        <w:pStyle w:val="FootnoteText"/>
        <w:rPr>
          <w:sz w:val="16"/>
          <w:szCs w:val="16"/>
        </w:rPr>
      </w:pPr>
      <w:r w:rsidRPr="004E2053">
        <w:rPr>
          <w:rStyle w:val="FootnoteReference"/>
          <w:sz w:val="16"/>
          <w:szCs w:val="16"/>
        </w:rPr>
        <w:footnoteRef/>
      </w:r>
      <w:r w:rsidRPr="004E2053">
        <w:rPr>
          <w:sz w:val="16"/>
          <w:szCs w:val="16"/>
        </w:rPr>
        <w:t xml:space="preserve"> Kamerstukken II 2024</w:t>
      </w:r>
      <w:r w:rsidR="004A2DD2">
        <w:rPr>
          <w:sz w:val="16"/>
          <w:szCs w:val="16"/>
        </w:rPr>
        <w:t>/</w:t>
      </w:r>
      <w:r w:rsidRPr="004E2053">
        <w:rPr>
          <w:sz w:val="16"/>
          <w:szCs w:val="16"/>
        </w:rPr>
        <w:t>25, 31936, nr. 1229</w:t>
      </w:r>
    </w:p>
  </w:footnote>
  <w:footnote w:id="2">
    <w:p w14:paraId="5743237F" w14:textId="0AB06A5B" w:rsidR="004F67D7" w:rsidRPr="004F67D7" w:rsidRDefault="004F67D7">
      <w:pPr>
        <w:pStyle w:val="FootnoteText"/>
      </w:pPr>
      <w:r w:rsidRPr="004F67D7">
        <w:rPr>
          <w:rStyle w:val="FootnoteReference"/>
          <w:sz w:val="16"/>
          <w:szCs w:val="16"/>
        </w:rPr>
        <w:footnoteRef/>
      </w:r>
      <w:r w:rsidRPr="004F67D7">
        <w:rPr>
          <w:sz w:val="16"/>
          <w:szCs w:val="16"/>
        </w:rPr>
        <w:t xml:space="preserve"> https://maatschappelijkeraadschiphol.nl/wp-content/uploads/2025/09/MRS-advies_Adviesaanvraag-Gezondheidsraad-over-gezondheidseffecten-van-Schiphol_zh-002.pdf</w:t>
      </w:r>
    </w:p>
  </w:footnote>
  <w:footnote w:id="3">
    <w:p w14:paraId="4FBA6AA6" w14:textId="168C2BE9" w:rsidR="00B51E6F" w:rsidRPr="00B51E6F" w:rsidRDefault="00B51E6F">
      <w:pPr>
        <w:pStyle w:val="FootnoteText"/>
        <w:rPr>
          <w:sz w:val="16"/>
          <w:szCs w:val="16"/>
        </w:rPr>
      </w:pPr>
      <w:r w:rsidRPr="00B51E6F">
        <w:rPr>
          <w:rStyle w:val="FootnoteReference"/>
          <w:sz w:val="16"/>
          <w:szCs w:val="16"/>
        </w:rPr>
        <w:footnoteRef/>
      </w:r>
      <w:r w:rsidRPr="00B51E6F">
        <w:rPr>
          <w:sz w:val="16"/>
          <w:szCs w:val="16"/>
        </w:rPr>
        <w:t xml:space="preserve"> TZ202509-065</w:t>
      </w:r>
    </w:p>
  </w:footnote>
  <w:footnote w:id="4">
    <w:p w14:paraId="17E5BF5B" w14:textId="7E1AA010" w:rsidR="00647428" w:rsidRPr="004E2053" w:rsidRDefault="00647428">
      <w:pPr>
        <w:pStyle w:val="FootnoteText"/>
        <w:rPr>
          <w:sz w:val="16"/>
          <w:szCs w:val="16"/>
        </w:rPr>
      </w:pPr>
      <w:r w:rsidRPr="004E2053">
        <w:rPr>
          <w:rStyle w:val="FootnoteReference"/>
          <w:sz w:val="16"/>
          <w:szCs w:val="16"/>
        </w:rPr>
        <w:footnoteRef/>
      </w:r>
      <w:r w:rsidRPr="004E2053">
        <w:rPr>
          <w:sz w:val="16"/>
          <w:szCs w:val="16"/>
        </w:rPr>
        <w:t xml:space="preserve"> </w:t>
      </w:r>
      <w:r w:rsidR="001D467A" w:rsidRPr="004E2053">
        <w:rPr>
          <w:sz w:val="16"/>
          <w:szCs w:val="16"/>
        </w:rPr>
        <w:t>Kamerstuk</w:t>
      </w:r>
      <w:r w:rsidR="009B3FA2">
        <w:rPr>
          <w:sz w:val="16"/>
          <w:szCs w:val="16"/>
        </w:rPr>
        <w:t>ken</w:t>
      </w:r>
      <w:r w:rsidR="001D467A" w:rsidRPr="004E2053">
        <w:rPr>
          <w:sz w:val="16"/>
          <w:szCs w:val="16"/>
        </w:rPr>
        <w:t xml:space="preserve"> II </w:t>
      </w:r>
      <w:r w:rsidR="009B3FA2">
        <w:rPr>
          <w:sz w:val="16"/>
          <w:szCs w:val="16"/>
        </w:rPr>
        <w:t>2021</w:t>
      </w:r>
      <w:r w:rsidR="004A2DD2">
        <w:rPr>
          <w:sz w:val="16"/>
          <w:szCs w:val="16"/>
        </w:rPr>
        <w:t>/</w:t>
      </w:r>
      <w:r w:rsidR="009B3FA2">
        <w:rPr>
          <w:sz w:val="16"/>
          <w:szCs w:val="16"/>
        </w:rPr>
        <w:t>22</w:t>
      </w:r>
      <w:r w:rsidR="001D467A" w:rsidRPr="004E2053">
        <w:rPr>
          <w:sz w:val="16"/>
          <w:szCs w:val="16"/>
        </w:rPr>
        <w:t xml:space="preserve">, 30175, nr. </w:t>
      </w:r>
      <w:r w:rsidR="00E21CF9">
        <w:rPr>
          <w:sz w:val="16"/>
          <w:szCs w:val="16"/>
        </w:rPr>
        <w:t>414</w:t>
      </w:r>
    </w:p>
  </w:footnote>
  <w:footnote w:id="5">
    <w:p w14:paraId="672BAB19" w14:textId="459EDC60" w:rsidR="009E6AD2" w:rsidRDefault="009E6AD2">
      <w:pPr>
        <w:pStyle w:val="FootnoteText"/>
      </w:pPr>
      <w:r w:rsidRPr="00742B22">
        <w:rPr>
          <w:rStyle w:val="FootnoteReference"/>
          <w:sz w:val="16"/>
          <w:szCs w:val="16"/>
        </w:rPr>
        <w:footnoteRef/>
      </w:r>
      <w:r w:rsidRPr="00742B22">
        <w:rPr>
          <w:sz w:val="16"/>
          <w:szCs w:val="16"/>
        </w:rPr>
        <w:t xml:space="preserve"> </w:t>
      </w:r>
      <w:r w:rsidRPr="004E2053">
        <w:rPr>
          <w:sz w:val="16"/>
          <w:szCs w:val="16"/>
        </w:rPr>
        <w:t>Kamerstuk</w:t>
      </w:r>
      <w:r w:rsidR="009B3FA2">
        <w:rPr>
          <w:sz w:val="16"/>
          <w:szCs w:val="16"/>
        </w:rPr>
        <w:t>ken</w:t>
      </w:r>
      <w:r w:rsidRPr="004E2053">
        <w:rPr>
          <w:sz w:val="16"/>
          <w:szCs w:val="16"/>
        </w:rPr>
        <w:t xml:space="preserve"> II 2022</w:t>
      </w:r>
      <w:r w:rsidR="004A2DD2">
        <w:rPr>
          <w:sz w:val="16"/>
          <w:szCs w:val="16"/>
        </w:rPr>
        <w:t>/</w:t>
      </w:r>
      <w:r w:rsidR="009B3FA2">
        <w:rPr>
          <w:sz w:val="16"/>
          <w:szCs w:val="16"/>
        </w:rPr>
        <w:t>23</w:t>
      </w:r>
      <w:r w:rsidRPr="004E2053">
        <w:rPr>
          <w:sz w:val="16"/>
          <w:szCs w:val="16"/>
        </w:rPr>
        <w:t>, 31936, nr. 1022</w:t>
      </w:r>
    </w:p>
  </w:footnote>
  <w:footnote w:id="6">
    <w:p w14:paraId="74406F85" w14:textId="63A09747" w:rsidR="001F41DB" w:rsidRDefault="001F41DB" w:rsidP="001F41DB">
      <w:pPr>
        <w:pStyle w:val="FootnoteText"/>
      </w:pPr>
      <w:r w:rsidRPr="00D90C91">
        <w:rPr>
          <w:rStyle w:val="FootnoteReference"/>
          <w:sz w:val="16"/>
          <w:szCs w:val="16"/>
        </w:rPr>
        <w:footnoteRef/>
      </w:r>
      <w:r w:rsidRPr="00D90C91">
        <w:rPr>
          <w:sz w:val="16"/>
          <w:szCs w:val="16"/>
        </w:rPr>
        <w:t xml:space="preserve"> Kamerstukken II 2024</w:t>
      </w:r>
      <w:r w:rsidR="004A2DD2">
        <w:rPr>
          <w:sz w:val="16"/>
          <w:szCs w:val="16"/>
        </w:rPr>
        <w:t>/</w:t>
      </w:r>
      <w:r w:rsidRPr="00D90C91">
        <w:rPr>
          <w:sz w:val="16"/>
          <w:szCs w:val="16"/>
        </w:rPr>
        <w:t>25, 2</w:t>
      </w:r>
      <w:r w:rsidR="00216B8F">
        <w:rPr>
          <w:sz w:val="16"/>
          <w:szCs w:val="16"/>
        </w:rPr>
        <w:t>9665</w:t>
      </w:r>
      <w:r w:rsidRPr="00D90C91">
        <w:rPr>
          <w:sz w:val="16"/>
          <w:szCs w:val="16"/>
        </w:rPr>
        <w:t>, nr. 528</w:t>
      </w:r>
    </w:p>
  </w:footnote>
  <w:footnote w:id="7">
    <w:p w14:paraId="1C494821" w14:textId="22D85E54" w:rsidR="005E4B31" w:rsidRDefault="005E4B31">
      <w:pPr>
        <w:pStyle w:val="FootnoteText"/>
      </w:pPr>
      <w:r w:rsidRPr="005E4B31">
        <w:rPr>
          <w:rStyle w:val="FootnoteReference"/>
          <w:sz w:val="16"/>
          <w:szCs w:val="16"/>
        </w:rPr>
        <w:footnoteRef/>
      </w:r>
      <w:r w:rsidRPr="005E4B31">
        <w:rPr>
          <w:sz w:val="16"/>
          <w:szCs w:val="16"/>
        </w:rPr>
        <w:t xml:space="preserve"> Kamerstukken II, 2023</w:t>
      </w:r>
      <w:r w:rsidR="004A2DD2">
        <w:rPr>
          <w:sz w:val="16"/>
          <w:szCs w:val="16"/>
        </w:rPr>
        <w:t>/</w:t>
      </w:r>
      <w:r w:rsidRPr="005E4B31">
        <w:rPr>
          <w:sz w:val="16"/>
          <w:szCs w:val="16"/>
        </w:rPr>
        <w:t>24, 31936, nr. 1137</w:t>
      </w:r>
    </w:p>
  </w:footnote>
  <w:footnote w:id="8">
    <w:p w14:paraId="6DA6A8C7" w14:textId="094A5BCF" w:rsidR="005870CC" w:rsidRDefault="005870CC">
      <w:pPr>
        <w:pStyle w:val="FootnoteText"/>
      </w:pPr>
      <w:r w:rsidRPr="00FB4E42">
        <w:rPr>
          <w:rStyle w:val="FootnoteReference"/>
          <w:sz w:val="16"/>
          <w:szCs w:val="16"/>
        </w:rPr>
        <w:footnoteRef/>
      </w:r>
      <w:r w:rsidRPr="00FB4E42">
        <w:rPr>
          <w:sz w:val="16"/>
          <w:szCs w:val="16"/>
        </w:rPr>
        <w:t xml:space="preserve"> </w:t>
      </w:r>
      <w:r w:rsidR="001211CA" w:rsidRPr="004E2053">
        <w:rPr>
          <w:sz w:val="16"/>
          <w:szCs w:val="16"/>
        </w:rPr>
        <w:t>Kamerstuk</w:t>
      </w:r>
      <w:r w:rsidR="001211CA">
        <w:rPr>
          <w:sz w:val="16"/>
          <w:szCs w:val="16"/>
        </w:rPr>
        <w:t>ken</w:t>
      </w:r>
      <w:r w:rsidR="001211CA" w:rsidRPr="004E2053">
        <w:rPr>
          <w:sz w:val="16"/>
          <w:szCs w:val="16"/>
        </w:rPr>
        <w:t xml:space="preserve"> II </w:t>
      </w:r>
      <w:r w:rsidR="001211CA">
        <w:rPr>
          <w:sz w:val="16"/>
          <w:szCs w:val="16"/>
        </w:rPr>
        <w:t>2021</w:t>
      </w:r>
      <w:r w:rsidR="004A2DD2">
        <w:rPr>
          <w:sz w:val="16"/>
          <w:szCs w:val="16"/>
        </w:rPr>
        <w:t>/</w:t>
      </w:r>
      <w:r w:rsidR="001211CA">
        <w:rPr>
          <w:sz w:val="16"/>
          <w:szCs w:val="16"/>
        </w:rPr>
        <w:t>22</w:t>
      </w:r>
      <w:r w:rsidR="001211CA" w:rsidRPr="004E2053">
        <w:rPr>
          <w:sz w:val="16"/>
          <w:szCs w:val="16"/>
        </w:rPr>
        <w:t xml:space="preserve">, 30175, nr. </w:t>
      </w:r>
      <w:r w:rsidR="001211CA">
        <w:rPr>
          <w:sz w:val="16"/>
          <w:szCs w:val="16"/>
        </w:rPr>
        <w:t>414</w:t>
      </w:r>
    </w:p>
  </w:footnote>
  <w:footnote w:id="9">
    <w:p w14:paraId="63CCEB56" w14:textId="0FD8FC32" w:rsidR="00130F64" w:rsidRDefault="00130F64">
      <w:pPr>
        <w:pStyle w:val="FootnoteText"/>
      </w:pPr>
      <w:r w:rsidRPr="00130F64">
        <w:rPr>
          <w:rStyle w:val="FootnoteReference"/>
          <w:sz w:val="16"/>
          <w:szCs w:val="16"/>
        </w:rPr>
        <w:footnoteRef/>
      </w:r>
      <w:r w:rsidRPr="00130F64">
        <w:rPr>
          <w:sz w:val="16"/>
          <w:szCs w:val="16"/>
        </w:rPr>
        <w:t xml:space="preserve"> Kamerstukken II 2023</w:t>
      </w:r>
      <w:r w:rsidR="004A2DD2">
        <w:rPr>
          <w:sz w:val="16"/>
          <w:szCs w:val="16"/>
        </w:rPr>
        <w:t>/</w:t>
      </w:r>
      <w:r w:rsidRPr="00130F64">
        <w:rPr>
          <w:sz w:val="16"/>
          <w:szCs w:val="16"/>
        </w:rPr>
        <w:t>24, 31936, nr. 1137</w:t>
      </w:r>
    </w:p>
  </w:footnote>
  <w:footnote w:id="10">
    <w:p w14:paraId="76C071AD" w14:textId="1944ED69" w:rsidR="00130F64" w:rsidRDefault="00130F64">
      <w:pPr>
        <w:pStyle w:val="FootnoteText"/>
      </w:pPr>
      <w:r w:rsidRPr="00130F64">
        <w:rPr>
          <w:rStyle w:val="FootnoteReference"/>
          <w:sz w:val="16"/>
          <w:szCs w:val="16"/>
        </w:rPr>
        <w:footnoteRef/>
      </w:r>
      <w:r w:rsidRPr="00130F64">
        <w:rPr>
          <w:sz w:val="16"/>
          <w:szCs w:val="16"/>
        </w:rPr>
        <w:t xml:space="preserve"> Kamerstukken II</w:t>
      </w:r>
      <w:r w:rsidR="004A2DD2">
        <w:rPr>
          <w:sz w:val="16"/>
          <w:szCs w:val="16"/>
        </w:rPr>
        <w:t xml:space="preserve"> </w:t>
      </w:r>
      <w:r w:rsidRPr="00130F64">
        <w:rPr>
          <w:sz w:val="16"/>
          <w:szCs w:val="16"/>
        </w:rPr>
        <w:t>2024</w:t>
      </w:r>
      <w:r w:rsidR="004A2DD2">
        <w:rPr>
          <w:sz w:val="16"/>
          <w:szCs w:val="16"/>
        </w:rPr>
        <w:t>/</w:t>
      </w:r>
      <w:r w:rsidRPr="00130F64">
        <w:rPr>
          <w:sz w:val="16"/>
          <w:szCs w:val="16"/>
        </w:rPr>
        <w:t>25, 31936, nr. 1229</w:t>
      </w:r>
    </w:p>
  </w:footnote>
  <w:footnote w:id="11">
    <w:p w14:paraId="42B1D9CB" w14:textId="709D2444" w:rsidR="000E1D98" w:rsidRDefault="000E1D98">
      <w:pPr>
        <w:pStyle w:val="FootnoteText"/>
      </w:pPr>
      <w:r w:rsidRPr="000E1D98">
        <w:rPr>
          <w:rStyle w:val="FootnoteReference"/>
          <w:sz w:val="16"/>
          <w:szCs w:val="16"/>
        </w:rPr>
        <w:footnoteRef/>
      </w:r>
      <w:r w:rsidRPr="000E1D98">
        <w:rPr>
          <w:sz w:val="16"/>
          <w:szCs w:val="16"/>
        </w:rPr>
        <w:t xml:space="preserve"> </w:t>
      </w:r>
      <w:r w:rsidR="001211CA" w:rsidRPr="001211CA">
        <w:rPr>
          <w:sz w:val="16"/>
          <w:szCs w:val="16"/>
        </w:rPr>
        <w:t>https://www.rivm.nl/bibliotheek/rapporten/2023-0383.pdf</w:t>
      </w:r>
    </w:p>
  </w:footnote>
  <w:footnote w:id="12">
    <w:p w14:paraId="3C9C0A52" w14:textId="01D3CE6D" w:rsidR="001A7423" w:rsidRPr="001211CA" w:rsidRDefault="001A7423">
      <w:pPr>
        <w:pStyle w:val="FootnoteText"/>
        <w:rPr>
          <w:sz w:val="16"/>
          <w:szCs w:val="16"/>
        </w:rPr>
      </w:pPr>
      <w:r w:rsidRPr="001211CA">
        <w:rPr>
          <w:rStyle w:val="FootnoteReference"/>
          <w:sz w:val="16"/>
          <w:szCs w:val="16"/>
        </w:rPr>
        <w:footnoteRef/>
      </w:r>
      <w:r w:rsidRPr="001211CA">
        <w:rPr>
          <w:sz w:val="16"/>
          <w:szCs w:val="16"/>
        </w:rPr>
        <w:t xml:space="preserve"> Kamerstukken II 2023</w:t>
      </w:r>
      <w:r w:rsidR="004A2DD2">
        <w:rPr>
          <w:sz w:val="16"/>
          <w:szCs w:val="16"/>
        </w:rPr>
        <w:t>/</w:t>
      </w:r>
      <w:r w:rsidRPr="001211CA">
        <w:rPr>
          <w:sz w:val="16"/>
          <w:szCs w:val="16"/>
        </w:rPr>
        <w:t>24, 31936, nr. 1156</w:t>
      </w:r>
    </w:p>
  </w:footnote>
  <w:footnote w:id="13">
    <w:p w14:paraId="3A690BBB" w14:textId="023FD8A0" w:rsidR="00DB5076" w:rsidRDefault="00DB5076">
      <w:pPr>
        <w:pStyle w:val="FootnoteText"/>
      </w:pPr>
      <w:r w:rsidRPr="001211CA">
        <w:rPr>
          <w:rStyle w:val="FootnoteReference"/>
          <w:sz w:val="16"/>
          <w:szCs w:val="16"/>
        </w:rPr>
        <w:footnoteRef/>
      </w:r>
      <w:r w:rsidRPr="001211CA">
        <w:rPr>
          <w:sz w:val="16"/>
          <w:szCs w:val="16"/>
        </w:rPr>
        <w:t xml:space="preserve"> </w:t>
      </w:r>
      <w:r w:rsidR="001211CA" w:rsidRPr="001211CA">
        <w:rPr>
          <w:sz w:val="16"/>
          <w:szCs w:val="16"/>
        </w:rPr>
        <w:t>https://ggdghor.nl/wp-content/uploads/2025/06/GGDGHOR_Resultaten_GM_VO_2024_TG3.pdf</w:t>
      </w:r>
    </w:p>
  </w:footnote>
  <w:footnote w:id="14">
    <w:p w14:paraId="32AD71C4" w14:textId="4B4FFFF6" w:rsidR="00654B0F" w:rsidRDefault="00654B0F" w:rsidP="00654B0F">
      <w:pPr>
        <w:pStyle w:val="FootnoteText"/>
      </w:pPr>
      <w:r w:rsidRPr="00FF3621">
        <w:rPr>
          <w:rStyle w:val="FootnoteReference"/>
          <w:sz w:val="16"/>
          <w:szCs w:val="16"/>
        </w:rPr>
        <w:footnoteRef/>
      </w:r>
      <w:r w:rsidR="00130F64">
        <w:rPr>
          <w:sz w:val="16"/>
          <w:szCs w:val="16"/>
        </w:rPr>
        <w:t xml:space="preserve"> </w:t>
      </w:r>
      <w:r w:rsidR="00130F64" w:rsidRPr="00130F64">
        <w:rPr>
          <w:sz w:val="16"/>
          <w:szCs w:val="16"/>
        </w:rPr>
        <w:t>https://www.gezondheidsraad.nl/documenten/2021/09/15/risicos-van-ultrafijnstof-in-de-buitenlucht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E137" w14:textId="77777777" w:rsidR="004A2DD2" w:rsidRDefault="004A2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4594" w14:textId="77777777" w:rsidR="00CB2E66" w:rsidRDefault="00C27A8B">
    <w:r>
      <w:rPr>
        <w:noProof/>
        <w:lang w:val="en-GB" w:eastAsia="en-GB"/>
      </w:rPr>
      <mc:AlternateContent>
        <mc:Choice Requires="wps">
          <w:drawing>
            <wp:anchor distT="0" distB="0" distL="0" distR="0" simplePos="0" relativeHeight="251651584" behindDoc="0" locked="1" layoutInCell="1" allowOverlap="1" wp14:anchorId="10ABE55C" wp14:editId="2D8AB94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97B9F90" w14:textId="77777777" w:rsidR="00CB2E66" w:rsidRDefault="00C27A8B">
                          <w:pPr>
                            <w:pStyle w:val="AfzendgegevensKop0"/>
                          </w:pPr>
                          <w:r>
                            <w:t>Ministerie van Infrastructuur en Waterstaat</w:t>
                          </w:r>
                        </w:p>
                        <w:p w14:paraId="5F966F07" w14:textId="77777777" w:rsidR="0066031D" w:rsidRDefault="0066031D" w:rsidP="0066031D"/>
                        <w:p w14:paraId="231B3AA2" w14:textId="77777777" w:rsidR="0066031D" w:rsidRDefault="0066031D" w:rsidP="0066031D">
                          <w:pPr>
                            <w:pStyle w:val="Referentiegegevenskop"/>
                            <w:spacing w:line="276" w:lineRule="auto"/>
                          </w:pPr>
                          <w:r>
                            <w:t>Onze referentie</w:t>
                          </w:r>
                        </w:p>
                        <w:p w14:paraId="66A52EA4" w14:textId="77777777" w:rsidR="0066031D" w:rsidRPr="007C74F3" w:rsidRDefault="0066031D" w:rsidP="0066031D">
                          <w:pPr>
                            <w:spacing w:line="276" w:lineRule="auto"/>
                            <w:rPr>
                              <w:sz w:val="13"/>
                              <w:szCs w:val="13"/>
                            </w:rPr>
                          </w:pPr>
                          <w:r w:rsidRPr="007C74F3">
                            <w:rPr>
                              <w:sz w:val="13"/>
                              <w:szCs w:val="13"/>
                            </w:rPr>
                            <w:t>IENW/BSK-2025/</w:t>
                          </w:r>
                          <w:r>
                            <w:rPr>
                              <w:sz w:val="13"/>
                              <w:szCs w:val="13"/>
                            </w:rPr>
                            <w:t>260690</w:t>
                          </w:r>
                        </w:p>
                        <w:p w14:paraId="6D95B3AF" w14:textId="77777777" w:rsidR="0066031D" w:rsidRPr="0066031D" w:rsidRDefault="0066031D" w:rsidP="0066031D"/>
                      </w:txbxContent>
                    </wps:txbx>
                    <wps:bodyPr vert="horz" wrap="square" lIns="0" tIns="0" rIns="0" bIns="0" anchor="t" anchorCtr="0"/>
                  </wps:wsp>
                </a:graphicData>
              </a:graphic>
            </wp:anchor>
          </w:drawing>
        </mc:Choice>
        <mc:Fallback>
          <w:pict>
            <v:shapetype w14:anchorId="10ABE55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97B9F90" w14:textId="77777777" w:rsidR="00CB2E66" w:rsidRDefault="00C27A8B">
                    <w:pPr>
                      <w:pStyle w:val="AfzendgegevensKop0"/>
                    </w:pPr>
                    <w:r>
                      <w:t>Ministerie van Infrastructuur en Waterstaat</w:t>
                    </w:r>
                  </w:p>
                  <w:p w14:paraId="5F966F07" w14:textId="77777777" w:rsidR="0066031D" w:rsidRDefault="0066031D" w:rsidP="0066031D"/>
                  <w:p w14:paraId="231B3AA2" w14:textId="77777777" w:rsidR="0066031D" w:rsidRDefault="0066031D" w:rsidP="0066031D">
                    <w:pPr>
                      <w:pStyle w:val="Referentiegegevenskop"/>
                      <w:spacing w:line="276" w:lineRule="auto"/>
                    </w:pPr>
                    <w:r>
                      <w:t>Onze referentie</w:t>
                    </w:r>
                  </w:p>
                  <w:p w14:paraId="66A52EA4" w14:textId="77777777" w:rsidR="0066031D" w:rsidRPr="007C74F3" w:rsidRDefault="0066031D" w:rsidP="0066031D">
                    <w:pPr>
                      <w:spacing w:line="276" w:lineRule="auto"/>
                      <w:rPr>
                        <w:sz w:val="13"/>
                        <w:szCs w:val="13"/>
                      </w:rPr>
                    </w:pPr>
                    <w:r w:rsidRPr="007C74F3">
                      <w:rPr>
                        <w:sz w:val="13"/>
                        <w:szCs w:val="13"/>
                      </w:rPr>
                      <w:t>IENW/BSK-2025/</w:t>
                    </w:r>
                    <w:r>
                      <w:rPr>
                        <w:sz w:val="13"/>
                        <w:szCs w:val="13"/>
                      </w:rPr>
                      <w:t>260690</w:t>
                    </w:r>
                  </w:p>
                  <w:p w14:paraId="6D95B3AF" w14:textId="77777777" w:rsidR="0066031D" w:rsidRPr="0066031D" w:rsidRDefault="0066031D" w:rsidP="0066031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DF30E92" wp14:editId="3082C3D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13C596" w14:textId="679ABB2A" w:rsidR="00CB2E66" w:rsidRDefault="00C27A8B">
                          <w:pPr>
                            <w:pStyle w:val="Referentiegegevens"/>
                          </w:pPr>
                          <w:r>
                            <w:t xml:space="preserve">Pagina </w:t>
                          </w:r>
                          <w:r>
                            <w:fldChar w:fldCharType="begin"/>
                          </w:r>
                          <w:r>
                            <w:instrText>PAGE</w:instrText>
                          </w:r>
                          <w:r>
                            <w:fldChar w:fldCharType="separate"/>
                          </w:r>
                          <w:r w:rsidR="00647428">
                            <w:rPr>
                              <w:noProof/>
                            </w:rPr>
                            <w:t>2</w:t>
                          </w:r>
                          <w:r>
                            <w:fldChar w:fldCharType="end"/>
                          </w:r>
                          <w:r>
                            <w:t xml:space="preserve"> van </w:t>
                          </w:r>
                          <w:r>
                            <w:fldChar w:fldCharType="begin"/>
                          </w:r>
                          <w:r>
                            <w:instrText>NUMPAGES</w:instrText>
                          </w:r>
                          <w:r>
                            <w:fldChar w:fldCharType="separate"/>
                          </w:r>
                          <w:r w:rsidR="00913BC2">
                            <w:rPr>
                              <w:noProof/>
                            </w:rPr>
                            <w:t>1</w:t>
                          </w:r>
                          <w:r>
                            <w:fldChar w:fldCharType="end"/>
                          </w:r>
                        </w:p>
                      </w:txbxContent>
                    </wps:txbx>
                    <wps:bodyPr vert="horz" wrap="square" lIns="0" tIns="0" rIns="0" bIns="0" anchor="t" anchorCtr="0"/>
                  </wps:wsp>
                </a:graphicData>
              </a:graphic>
            </wp:anchor>
          </w:drawing>
        </mc:Choice>
        <mc:Fallback>
          <w:pict>
            <v:shape w14:anchorId="3DF30E9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913C596" w14:textId="679ABB2A" w:rsidR="00CB2E66" w:rsidRDefault="00C27A8B">
                    <w:pPr>
                      <w:pStyle w:val="Referentiegegevens"/>
                    </w:pPr>
                    <w:r>
                      <w:t xml:space="preserve">Pagina </w:t>
                    </w:r>
                    <w:r>
                      <w:fldChar w:fldCharType="begin"/>
                    </w:r>
                    <w:r>
                      <w:instrText>PAGE</w:instrText>
                    </w:r>
                    <w:r>
                      <w:fldChar w:fldCharType="separate"/>
                    </w:r>
                    <w:r w:rsidR="00647428">
                      <w:rPr>
                        <w:noProof/>
                      </w:rPr>
                      <w:t>2</w:t>
                    </w:r>
                    <w:r>
                      <w:fldChar w:fldCharType="end"/>
                    </w:r>
                    <w:r>
                      <w:t xml:space="preserve"> van </w:t>
                    </w:r>
                    <w:r>
                      <w:fldChar w:fldCharType="begin"/>
                    </w:r>
                    <w:r>
                      <w:instrText>NUMPAGES</w:instrText>
                    </w:r>
                    <w:r>
                      <w:fldChar w:fldCharType="separate"/>
                    </w:r>
                    <w:r w:rsidR="00913BC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39FEFEA" wp14:editId="49C3B18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F6F240" w14:textId="77777777" w:rsidR="002F5E04" w:rsidRDefault="002F5E04"/>
                      </w:txbxContent>
                    </wps:txbx>
                    <wps:bodyPr vert="horz" wrap="square" lIns="0" tIns="0" rIns="0" bIns="0" anchor="t" anchorCtr="0"/>
                  </wps:wsp>
                </a:graphicData>
              </a:graphic>
            </wp:anchor>
          </w:drawing>
        </mc:Choice>
        <mc:Fallback>
          <w:pict>
            <v:shape w14:anchorId="239FEFE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F6F240" w14:textId="77777777" w:rsidR="002F5E04" w:rsidRDefault="002F5E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37F94B6" wp14:editId="0078FB3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610E85" w14:textId="77777777" w:rsidR="002F5E04" w:rsidRDefault="002F5E04"/>
                      </w:txbxContent>
                    </wps:txbx>
                    <wps:bodyPr vert="horz" wrap="square" lIns="0" tIns="0" rIns="0" bIns="0" anchor="t" anchorCtr="0"/>
                  </wps:wsp>
                </a:graphicData>
              </a:graphic>
            </wp:anchor>
          </w:drawing>
        </mc:Choice>
        <mc:Fallback>
          <w:pict>
            <v:shape w14:anchorId="737F94B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6610E85" w14:textId="77777777" w:rsidR="002F5E04" w:rsidRDefault="002F5E0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771C" w14:textId="77777777" w:rsidR="00CB2E66" w:rsidRDefault="00C27A8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4917A9" wp14:editId="5B1D833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C5DDC6" w14:textId="77777777" w:rsidR="002F5E04" w:rsidRDefault="002F5E04"/>
                      </w:txbxContent>
                    </wps:txbx>
                    <wps:bodyPr vert="horz" wrap="square" lIns="0" tIns="0" rIns="0" bIns="0" anchor="t" anchorCtr="0"/>
                  </wps:wsp>
                </a:graphicData>
              </a:graphic>
            </wp:anchor>
          </w:drawing>
        </mc:Choice>
        <mc:Fallback>
          <w:pict>
            <v:shapetype w14:anchorId="3C4917A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BC5DDC6" w14:textId="77777777" w:rsidR="002F5E04" w:rsidRDefault="002F5E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63FAB9A" wp14:editId="23A6E58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CEF468" w14:textId="6A8C31DB" w:rsidR="00CB2E66" w:rsidRDefault="00C27A8B">
                          <w:pPr>
                            <w:pStyle w:val="Referentiegegevens"/>
                          </w:pPr>
                          <w:r>
                            <w:t xml:space="preserve">Pagina </w:t>
                          </w:r>
                          <w:r>
                            <w:fldChar w:fldCharType="begin"/>
                          </w:r>
                          <w:r>
                            <w:instrText>PAGE</w:instrText>
                          </w:r>
                          <w:r>
                            <w:fldChar w:fldCharType="separate"/>
                          </w:r>
                          <w:r w:rsidR="0059302D">
                            <w:rPr>
                              <w:noProof/>
                            </w:rPr>
                            <w:t>1</w:t>
                          </w:r>
                          <w:r>
                            <w:fldChar w:fldCharType="end"/>
                          </w:r>
                          <w:r>
                            <w:t xml:space="preserve"> van </w:t>
                          </w:r>
                          <w:r>
                            <w:fldChar w:fldCharType="begin"/>
                          </w:r>
                          <w:r>
                            <w:instrText>NUMPAGES</w:instrText>
                          </w:r>
                          <w:r>
                            <w:fldChar w:fldCharType="separate"/>
                          </w:r>
                          <w:r w:rsidR="0059302D">
                            <w:rPr>
                              <w:noProof/>
                            </w:rPr>
                            <w:t>1</w:t>
                          </w:r>
                          <w:r>
                            <w:fldChar w:fldCharType="end"/>
                          </w:r>
                        </w:p>
                      </w:txbxContent>
                    </wps:txbx>
                    <wps:bodyPr vert="horz" wrap="square" lIns="0" tIns="0" rIns="0" bIns="0" anchor="t" anchorCtr="0"/>
                  </wps:wsp>
                </a:graphicData>
              </a:graphic>
            </wp:anchor>
          </w:drawing>
        </mc:Choice>
        <mc:Fallback>
          <w:pict>
            <v:shape w14:anchorId="163FAB9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3CEF468" w14:textId="6A8C31DB" w:rsidR="00CB2E66" w:rsidRDefault="00C27A8B">
                    <w:pPr>
                      <w:pStyle w:val="Referentiegegevens"/>
                    </w:pPr>
                    <w:r>
                      <w:t xml:space="preserve">Pagina </w:t>
                    </w:r>
                    <w:r>
                      <w:fldChar w:fldCharType="begin"/>
                    </w:r>
                    <w:r>
                      <w:instrText>PAGE</w:instrText>
                    </w:r>
                    <w:r>
                      <w:fldChar w:fldCharType="separate"/>
                    </w:r>
                    <w:r w:rsidR="0059302D">
                      <w:rPr>
                        <w:noProof/>
                      </w:rPr>
                      <w:t>1</w:t>
                    </w:r>
                    <w:r>
                      <w:fldChar w:fldCharType="end"/>
                    </w:r>
                    <w:r>
                      <w:t xml:space="preserve"> van </w:t>
                    </w:r>
                    <w:r>
                      <w:fldChar w:fldCharType="begin"/>
                    </w:r>
                    <w:r>
                      <w:instrText>NUMPAGES</w:instrText>
                    </w:r>
                    <w:r>
                      <w:fldChar w:fldCharType="separate"/>
                    </w:r>
                    <w:r w:rsidR="0059302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4C01075" wp14:editId="67443CF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5C7708E" w14:textId="77777777" w:rsidR="00CB2E66" w:rsidRDefault="00C27A8B">
                          <w:pPr>
                            <w:pStyle w:val="AfzendgegevensKop0"/>
                          </w:pPr>
                          <w:r>
                            <w:t>Ministerie van Infrastructuur en Waterstaat</w:t>
                          </w:r>
                        </w:p>
                        <w:p w14:paraId="2F35DB18" w14:textId="77777777" w:rsidR="00CB2E66" w:rsidRDefault="00CB2E66">
                          <w:pPr>
                            <w:pStyle w:val="WitregelW1"/>
                          </w:pPr>
                        </w:p>
                        <w:p w14:paraId="4022E396" w14:textId="77777777" w:rsidR="00CB2E66" w:rsidRDefault="00C27A8B">
                          <w:pPr>
                            <w:pStyle w:val="Afzendgegevens"/>
                          </w:pPr>
                          <w:r>
                            <w:t>Rijnstraat 8</w:t>
                          </w:r>
                        </w:p>
                        <w:p w14:paraId="1581D05B" w14:textId="17D55D5A" w:rsidR="00CB2E66" w:rsidRPr="00913BC2" w:rsidRDefault="00C27A8B">
                          <w:pPr>
                            <w:pStyle w:val="Afzendgegevens"/>
                            <w:rPr>
                              <w:lang w:val="de-DE"/>
                            </w:rPr>
                          </w:pPr>
                          <w:r w:rsidRPr="00913BC2">
                            <w:rPr>
                              <w:lang w:val="de-DE"/>
                            </w:rPr>
                            <w:t xml:space="preserve">2515 </w:t>
                          </w:r>
                          <w:r w:rsidR="0066031D" w:rsidRPr="00913BC2">
                            <w:rPr>
                              <w:lang w:val="de-DE"/>
                            </w:rPr>
                            <w:t>XP Den</w:t>
                          </w:r>
                          <w:r w:rsidRPr="00913BC2">
                            <w:rPr>
                              <w:lang w:val="de-DE"/>
                            </w:rPr>
                            <w:t xml:space="preserve"> Haag</w:t>
                          </w:r>
                        </w:p>
                        <w:p w14:paraId="3022E4E3" w14:textId="77777777" w:rsidR="00CB2E66" w:rsidRPr="00913BC2" w:rsidRDefault="00C27A8B">
                          <w:pPr>
                            <w:pStyle w:val="Afzendgegevens"/>
                            <w:rPr>
                              <w:lang w:val="de-DE"/>
                            </w:rPr>
                          </w:pPr>
                          <w:r w:rsidRPr="00913BC2">
                            <w:rPr>
                              <w:lang w:val="de-DE"/>
                            </w:rPr>
                            <w:t>Postbus 20901</w:t>
                          </w:r>
                        </w:p>
                        <w:p w14:paraId="45B3AA49" w14:textId="77777777" w:rsidR="00CB2E66" w:rsidRPr="00913BC2" w:rsidRDefault="00C27A8B">
                          <w:pPr>
                            <w:pStyle w:val="Afzendgegevens"/>
                            <w:rPr>
                              <w:lang w:val="de-DE"/>
                            </w:rPr>
                          </w:pPr>
                          <w:r w:rsidRPr="00913BC2">
                            <w:rPr>
                              <w:lang w:val="de-DE"/>
                            </w:rPr>
                            <w:t>2500 EX Den Haag</w:t>
                          </w:r>
                        </w:p>
                        <w:p w14:paraId="189899D9" w14:textId="77777777" w:rsidR="00CB2E66" w:rsidRPr="00913BC2" w:rsidRDefault="00CB2E66">
                          <w:pPr>
                            <w:pStyle w:val="WitregelW1"/>
                            <w:rPr>
                              <w:lang w:val="de-DE"/>
                            </w:rPr>
                          </w:pPr>
                        </w:p>
                        <w:p w14:paraId="3152DFD1" w14:textId="77777777" w:rsidR="00CB2E66" w:rsidRPr="00913BC2" w:rsidRDefault="00C27A8B">
                          <w:pPr>
                            <w:pStyle w:val="Afzendgegevens"/>
                            <w:rPr>
                              <w:lang w:val="de-DE"/>
                            </w:rPr>
                          </w:pPr>
                          <w:r w:rsidRPr="00913BC2">
                            <w:rPr>
                              <w:lang w:val="de-DE"/>
                            </w:rPr>
                            <w:t>T   070-456 0000</w:t>
                          </w:r>
                        </w:p>
                        <w:p w14:paraId="5361216D" w14:textId="77777777" w:rsidR="00CB2E66" w:rsidRDefault="00C27A8B">
                          <w:pPr>
                            <w:pStyle w:val="Afzendgegevens"/>
                          </w:pPr>
                          <w:r>
                            <w:t>F   070-456 1111</w:t>
                          </w:r>
                        </w:p>
                        <w:p w14:paraId="504C3DE5" w14:textId="77777777" w:rsidR="00CB2E66" w:rsidRDefault="00CB2E66">
                          <w:pPr>
                            <w:pStyle w:val="WitregelW2"/>
                          </w:pPr>
                        </w:p>
                        <w:p w14:paraId="2BE8B4DD" w14:textId="5C5E4749" w:rsidR="00913BC2" w:rsidRDefault="00913BC2" w:rsidP="0066031D">
                          <w:pPr>
                            <w:pStyle w:val="Referentiegegevenskop"/>
                            <w:spacing w:line="276" w:lineRule="auto"/>
                          </w:pPr>
                          <w:r>
                            <w:t>Onze referentie</w:t>
                          </w:r>
                        </w:p>
                        <w:p w14:paraId="32587170" w14:textId="1DB65E71" w:rsidR="00913BC2" w:rsidRPr="007C74F3" w:rsidRDefault="00913BC2" w:rsidP="0066031D">
                          <w:pPr>
                            <w:spacing w:line="276" w:lineRule="auto"/>
                            <w:rPr>
                              <w:sz w:val="13"/>
                              <w:szCs w:val="13"/>
                            </w:rPr>
                          </w:pPr>
                          <w:r w:rsidRPr="007C74F3">
                            <w:rPr>
                              <w:sz w:val="13"/>
                              <w:szCs w:val="13"/>
                            </w:rPr>
                            <w:t>IENW/BSK-2025/</w:t>
                          </w:r>
                          <w:r w:rsidR="00D024EF">
                            <w:rPr>
                              <w:sz w:val="13"/>
                              <w:szCs w:val="13"/>
                            </w:rPr>
                            <w:t>260690</w:t>
                          </w:r>
                        </w:p>
                        <w:p w14:paraId="5CAD31A5" w14:textId="77777777" w:rsidR="00913BC2" w:rsidRDefault="00913BC2">
                          <w:pPr>
                            <w:pStyle w:val="Referentiegegevenskop"/>
                          </w:pPr>
                        </w:p>
                        <w:p w14:paraId="17EF583B" w14:textId="196F44C0" w:rsidR="00CB2E66" w:rsidRDefault="00C27A8B">
                          <w:pPr>
                            <w:pStyle w:val="Referentiegegevenskop"/>
                          </w:pPr>
                          <w:r>
                            <w:t>Bijlage(n)</w:t>
                          </w:r>
                        </w:p>
                        <w:p w14:paraId="54188156" w14:textId="53D3B3A5" w:rsidR="00CB2E66" w:rsidRDefault="00C82F55">
                          <w:pPr>
                            <w:pStyle w:val="Referentiegegevens"/>
                          </w:pPr>
                          <w:r>
                            <w:t>5</w:t>
                          </w:r>
                        </w:p>
                      </w:txbxContent>
                    </wps:txbx>
                    <wps:bodyPr vert="horz" wrap="square" lIns="0" tIns="0" rIns="0" bIns="0" anchor="t" anchorCtr="0"/>
                  </wps:wsp>
                </a:graphicData>
              </a:graphic>
            </wp:anchor>
          </w:drawing>
        </mc:Choice>
        <mc:Fallback>
          <w:pict>
            <v:shape w14:anchorId="54C0107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5C7708E" w14:textId="77777777" w:rsidR="00CB2E66" w:rsidRDefault="00C27A8B">
                    <w:pPr>
                      <w:pStyle w:val="AfzendgegevensKop0"/>
                    </w:pPr>
                    <w:r>
                      <w:t>Ministerie van Infrastructuur en Waterstaat</w:t>
                    </w:r>
                  </w:p>
                  <w:p w14:paraId="2F35DB18" w14:textId="77777777" w:rsidR="00CB2E66" w:rsidRDefault="00CB2E66">
                    <w:pPr>
                      <w:pStyle w:val="WitregelW1"/>
                    </w:pPr>
                  </w:p>
                  <w:p w14:paraId="4022E396" w14:textId="77777777" w:rsidR="00CB2E66" w:rsidRDefault="00C27A8B">
                    <w:pPr>
                      <w:pStyle w:val="Afzendgegevens"/>
                    </w:pPr>
                    <w:r>
                      <w:t>Rijnstraat 8</w:t>
                    </w:r>
                  </w:p>
                  <w:p w14:paraId="1581D05B" w14:textId="17D55D5A" w:rsidR="00CB2E66" w:rsidRPr="00913BC2" w:rsidRDefault="00C27A8B">
                    <w:pPr>
                      <w:pStyle w:val="Afzendgegevens"/>
                      <w:rPr>
                        <w:lang w:val="de-DE"/>
                      </w:rPr>
                    </w:pPr>
                    <w:r w:rsidRPr="00913BC2">
                      <w:rPr>
                        <w:lang w:val="de-DE"/>
                      </w:rPr>
                      <w:t xml:space="preserve">2515 </w:t>
                    </w:r>
                    <w:r w:rsidR="0066031D" w:rsidRPr="00913BC2">
                      <w:rPr>
                        <w:lang w:val="de-DE"/>
                      </w:rPr>
                      <w:t>XP Den</w:t>
                    </w:r>
                    <w:r w:rsidRPr="00913BC2">
                      <w:rPr>
                        <w:lang w:val="de-DE"/>
                      </w:rPr>
                      <w:t xml:space="preserve"> Haag</w:t>
                    </w:r>
                  </w:p>
                  <w:p w14:paraId="3022E4E3" w14:textId="77777777" w:rsidR="00CB2E66" w:rsidRPr="00913BC2" w:rsidRDefault="00C27A8B">
                    <w:pPr>
                      <w:pStyle w:val="Afzendgegevens"/>
                      <w:rPr>
                        <w:lang w:val="de-DE"/>
                      </w:rPr>
                    </w:pPr>
                    <w:r w:rsidRPr="00913BC2">
                      <w:rPr>
                        <w:lang w:val="de-DE"/>
                      </w:rPr>
                      <w:t>Postbus 20901</w:t>
                    </w:r>
                  </w:p>
                  <w:p w14:paraId="45B3AA49" w14:textId="77777777" w:rsidR="00CB2E66" w:rsidRPr="00913BC2" w:rsidRDefault="00C27A8B">
                    <w:pPr>
                      <w:pStyle w:val="Afzendgegevens"/>
                      <w:rPr>
                        <w:lang w:val="de-DE"/>
                      </w:rPr>
                    </w:pPr>
                    <w:r w:rsidRPr="00913BC2">
                      <w:rPr>
                        <w:lang w:val="de-DE"/>
                      </w:rPr>
                      <w:t>2500 EX Den Haag</w:t>
                    </w:r>
                  </w:p>
                  <w:p w14:paraId="189899D9" w14:textId="77777777" w:rsidR="00CB2E66" w:rsidRPr="00913BC2" w:rsidRDefault="00CB2E66">
                    <w:pPr>
                      <w:pStyle w:val="WitregelW1"/>
                      <w:rPr>
                        <w:lang w:val="de-DE"/>
                      </w:rPr>
                    </w:pPr>
                  </w:p>
                  <w:p w14:paraId="3152DFD1" w14:textId="77777777" w:rsidR="00CB2E66" w:rsidRPr="00913BC2" w:rsidRDefault="00C27A8B">
                    <w:pPr>
                      <w:pStyle w:val="Afzendgegevens"/>
                      <w:rPr>
                        <w:lang w:val="de-DE"/>
                      </w:rPr>
                    </w:pPr>
                    <w:r w:rsidRPr="00913BC2">
                      <w:rPr>
                        <w:lang w:val="de-DE"/>
                      </w:rPr>
                      <w:t>T   070-456 0000</w:t>
                    </w:r>
                  </w:p>
                  <w:p w14:paraId="5361216D" w14:textId="77777777" w:rsidR="00CB2E66" w:rsidRDefault="00C27A8B">
                    <w:pPr>
                      <w:pStyle w:val="Afzendgegevens"/>
                    </w:pPr>
                    <w:r>
                      <w:t>F   070-456 1111</w:t>
                    </w:r>
                  </w:p>
                  <w:p w14:paraId="504C3DE5" w14:textId="77777777" w:rsidR="00CB2E66" w:rsidRDefault="00CB2E66">
                    <w:pPr>
                      <w:pStyle w:val="WitregelW2"/>
                    </w:pPr>
                  </w:p>
                  <w:p w14:paraId="2BE8B4DD" w14:textId="5C5E4749" w:rsidR="00913BC2" w:rsidRDefault="00913BC2" w:rsidP="0066031D">
                    <w:pPr>
                      <w:pStyle w:val="Referentiegegevenskop"/>
                      <w:spacing w:line="276" w:lineRule="auto"/>
                    </w:pPr>
                    <w:r>
                      <w:t>Onze referentie</w:t>
                    </w:r>
                  </w:p>
                  <w:p w14:paraId="32587170" w14:textId="1DB65E71" w:rsidR="00913BC2" w:rsidRPr="007C74F3" w:rsidRDefault="00913BC2" w:rsidP="0066031D">
                    <w:pPr>
                      <w:spacing w:line="276" w:lineRule="auto"/>
                      <w:rPr>
                        <w:sz w:val="13"/>
                        <w:szCs w:val="13"/>
                      </w:rPr>
                    </w:pPr>
                    <w:r w:rsidRPr="007C74F3">
                      <w:rPr>
                        <w:sz w:val="13"/>
                        <w:szCs w:val="13"/>
                      </w:rPr>
                      <w:t>IENW/BSK-2025/</w:t>
                    </w:r>
                    <w:r w:rsidR="00D024EF">
                      <w:rPr>
                        <w:sz w:val="13"/>
                        <w:szCs w:val="13"/>
                      </w:rPr>
                      <w:t>260690</w:t>
                    </w:r>
                  </w:p>
                  <w:p w14:paraId="5CAD31A5" w14:textId="77777777" w:rsidR="00913BC2" w:rsidRDefault="00913BC2">
                    <w:pPr>
                      <w:pStyle w:val="Referentiegegevenskop"/>
                    </w:pPr>
                  </w:p>
                  <w:p w14:paraId="17EF583B" w14:textId="196F44C0" w:rsidR="00CB2E66" w:rsidRDefault="00C27A8B">
                    <w:pPr>
                      <w:pStyle w:val="Referentiegegevenskop"/>
                    </w:pPr>
                    <w:r>
                      <w:t>Bijlage(n)</w:t>
                    </w:r>
                  </w:p>
                  <w:p w14:paraId="54188156" w14:textId="53D3B3A5" w:rsidR="00CB2E66" w:rsidRDefault="00C82F55">
                    <w:pPr>
                      <w:pStyle w:val="Referentiegegevens"/>
                    </w:pPr>
                    <w: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FE45947" wp14:editId="3641C87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2C9AB1D" w14:textId="77777777" w:rsidR="00CB2E66" w:rsidRDefault="00C27A8B">
                          <w:pPr>
                            <w:spacing w:line="240" w:lineRule="auto"/>
                          </w:pPr>
                          <w:r>
                            <w:rPr>
                              <w:noProof/>
                              <w:lang w:val="en-GB" w:eastAsia="en-GB"/>
                            </w:rPr>
                            <w:drawing>
                              <wp:inline distT="0" distB="0" distL="0" distR="0" wp14:anchorId="159D9E3B" wp14:editId="5ACBEFD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E4594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2C9AB1D" w14:textId="77777777" w:rsidR="00CB2E66" w:rsidRDefault="00C27A8B">
                    <w:pPr>
                      <w:spacing w:line="240" w:lineRule="auto"/>
                    </w:pPr>
                    <w:r>
                      <w:rPr>
                        <w:noProof/>
                        <w:lang w:val="en-GB" w:eastAsia="en-GB"/>
                      </w:rPr>
                      <w:drawing>
                        <wp:inline distT="0" distB="0" distL="0" distR="0" wp14:anchorId="159D9E3B" wp14:editId="5ACBEFD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4B3741D" wp14:editId="437A46F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71432C" w14:textId="77777777" w:rsidR="00CB2E66" w:rsidRDefault="00C27A8B">
                          <w:pPr>
                            <w:spacing w:line="240" w:lineRule="auto"/>
                          </w:pPr>
                          <w:r>
                            <w:rPr>
                              <w:noProof/>
                              <w:lang w:val="en-GB" w:eastAsia="en-GB"/>
                            </w:rPr>
                            <w:drawing>
                              <wp:inline distT="0" distB="0" distL="0" distR="0" wp14:anchorId="5CBDAE20" wp14:editId="73CDEE5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B3741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371432C" w14:textId="77777777" w:rsidR="00CB2E66" w:rsidRDefault="00C27A8B">
                    <w:pPr>
                      <w:spacing w:line="240" w:lineRule="auto"/>
                    </w:pPr>
                    <w:r>
                      <w:rPr>
                        <w:noProof/>
                        <w:lang w:val="en-GB" w:eastAsia="en-GB"/>
                      </w:rPr>
                      <w:drawing>
                        <wp:inline distT="0" distB="0" distL="0" distR="0" wp14:anchorId="5CBDAE20" wp14:editId="73CDEE5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5004D30" wp14:editId="379E08C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2EE5DC1" w14:textId="77777777" w:rsidR="00CB2E66" w:rsidRDefault="00C27A8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5004D3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2EE5DC1" w14:textId="77777777" w:rsidR="00CB2E66" w:rsidRDefault="00C27A8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4C361B5" wp14:editId="1688251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A4BD735" w14:textId="77777777" w:rsidR="00CB2E66" w:rsidRDefault="00C27A8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4C361B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A4BD735" w14:textId="77777777" w:rsidR="00CB2E66" w:rsidRDefault="00C27A8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0029528" wp14:editId="7E20D7C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B2E66" w14:paraId="42F2055A" w14:textId="77777777">
                            <w:trPr>
                              <w:trHeight w:val="200"/>
                            </w:trPr>
                            <w:tc>
                              <w:tcPr>
                                <w:tcW w:w="1140" w:type="dxa"/>
                              </w:tcPr>
                              <w:p w14:paraId="311B9A04" w14:textId="77777777" w:rsidR="00CB2E66" w:rsidRDefault="00CB2E66"/>
                            </w:tc>
                            <w:tc>
                              <w:tcPr>
                                <w:tcW w:w="5400" w:type="dxa"/>
                              </w:tcPr>
                              <w:p w14:paraId="0AF06226" w14:textId="77777777" w:rsidR="00CB2E66" w:rsidRDefault="00CB2E66"/>
                            </w:tc>
                          </w:tr>
                          <w:tr w:rsidR="00CB2E66" w14:paraId="07D4D86F" w14:textId="77777777">
                            <w:trPr>
                              <w:trHeight w:val="240"/>
                            </w:trPr>
                            <w:tc>
                              <w:tcPr>
                                <w:tcW w:w="1140" w:type="dxa"/>
                              </w:tcPr>
                              <w:p w14:paraId="59C4145A" w14:textId="77777777" w:rsidR="00CB2E66" w:rsidRDefault="00C27A8B">
                                <w:r>
                                  <w:t>Datum</w:t>
                                </w:r>
                              </w:p>
                            </w:tc>
                            <w:tc>
                              <w:tcPr>
                                <w:tcW w:w="5400" w:type="dxa"/>
                              </w:tcPr>
                              <w:p w14:paraId="524DA58C" w14:textId="49824F06" w:rsidR="00CB2E66" w:rsidRDefault="00C82F55">
                                <w:r>
                                  <w:t>4 november 2025</w:t>
                                </w:r>
                              </w:p>
                            </w:tc>
                          </w:tr>
                          <w:tr w:rsidR="00CB2E66" w14:paraId="46D842CA" w14:textId="77777777">
                            <w:trPr>
                              <w:trHeight w:val="240"/>
                            </w:trPr>
                            <w:tc>
                              <w:tcPr>
                                <w:tcW w:w="1140" w:type="dxa"/>
                              </w:tcPr>
                              <w:p w14:paraId="0B7FD55F" w14:textId="77777777" w:rsidR="00CB2E66" w:rsidRDefault="00C27A8B">
                                <w:r>
                                  <w:t>Betreft</w:t>
                                </w:r>
                              </w:p>
                            </w:tc>
                            <w:tc>
                              <w:tcPr>
                                <w:tcW w:w="5400" w:type="dxa"/>
                              </w:tcPr>
                              <w:p w14:paraId="42295615" w14:textId="17532434" w:rsidR="00CB2E66" w:rsidRDefault="00913BC2">
                                <w:r>
                                  <w:t>Luchtvaartemissies en gezondheid</w:t>
                                </w:r>
                              </w:p>
                            </w:tc>
                          </w:tr>
                          <w:tr w:rsidR="00CB2E66" w14:paraId="5C7E6D57" w14:textId="77777777">
                            <w:trPr>
                              <w:trHeight w:val="200"/>
                            </w:trPr>
                            <w:tc>
                              <w:tcPr>
                                <w:tcW w:w="1140" w:type="dxa"/>
                              </w:tcPr>
                              <w:p w14:paraId="71870D15" w14:textId="77777777" w:rsidR="00CB2E66" w:rsidRDefault="00CB2E66"/>
                            </w:tc>
                            <w:tc>
                              <w:tcPr>
                                <w:tcW w:w="5400" w:type="dxa"/>
                              </w:tcPr>
                              <w:p w14:paraId="650DC654" w14:textId="77777777" w:rsidR="00CB2E66" w:rsidRDefault="00CB2E66"/>
                            </w:tc>
                          </w:tr>
                        </w:tbl>
                        <w:p w14:paraId="793580DD" w14:textId="77777777" w:rsidR="002F5E04" w:rsidRDefault="002F5E04"/>
                      </w:txbxContent>
                    </wps:txbx>
                    <wps:bodyPr vert="horz" wrap="square" lIns="0" tIns="0" rIns="0" bIns="0" anchor="t" anchorCtr="0"/>
                  </wps:wsp>
                </a:graphicData>
              </a:graphic>
            </wp:anchor>
          </w:drawing>
        </mc:Choice>
        <mc:Fallback>
          <w:pict>
            <v:shape w14:anchorId="0002952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B2E66" w14:paraId="42F2055A" w14:textId="77777777">
                      <w:trPr>
                        <w:trHeight w:val="200"/>
                      </w:trPr>
                      <w:tc>
                        <w:tcPr>
                          <w:tcW w:w="1140" w:type="dxa"/>
                        </w:tcPr>
                        <w:p w14:paraId="311B9A04" w14:textId="77777777" w:rsidR="00CB2E66" w:rsidRDefault="00CB2E66"/>
                      </w:tc>
                      <w:tc>
                        <w:tcPr>
                          <w:tcW w:w="5400" w:type="dxa"/>
                        </w:tcPr>
                        <w:p w14:paraId="0AF06226" w14:textId="77777777" w:rsidR="00CB2E66" w:rsidRDefault="00CB2E66"/>
                      </w:tc>
                    </w:tr>
                    <w:tr w:rsidR="00CB2E66" w14:paraId="07D4D86F" w14:textId="77777777">
                      <w:trPr>
                        <w:trHeight w:val="240"/>
                      </w:trPr>
                      <w:tc>
                        <w:tcPr>
                          <w:tcW w:w="1140" w:type="dxa"/>
                        </w:tcPr>
                        <w:p w14:paraId="59C4145A" w14:textId="77777777" w:rsidR="00CB2E66" w:rsidRDefault="00C27A8B">
                          <w:r>
                            <w:t>Datum</w:t>
                          </w:r>
                        </w:p>
                      </w:tc>
                      <w:tc>
                        <w:tcPr>
                          <w:tcW w:w="5400" w:type="dxa"/>
                        </w:tcPr>
                        <w:p w14:paraId="524DA58C" w14:textId="49824F06" w:rsidR="00CB2E66" w:rsidRDefault="00C82F55">
                          <w:r>
                            <w:t>4 november 2025</w:t>
                          </w:r>
                        </w:p>
                      </w:tc>
                    </w:tr>
                    <w:tr w:rsidR="00CB2E66" w14:paraId="46D842CA" w14:textId="77777777">
                      <w:trPr>
                        <w:trHeight w:val="240"/>
                      </w:trPr>
                      <w:tc>
                        <w:tcPr>
                          <w:tcW w:w="1140" w:type="dxa"/>
                        </w:tcPr>
                        <w:p w14:paraId="0B7FD55F" w14:textId="77777777" w:rsidR="00CB2E66" w:rsidRDefault="00C27A8B">
                          <w:r>
                            <w:t>Betreft</w:t>
                          </w:r>
                        </w:p>
                      </w:tc>
                      <w:tc>
                        <w:tcPr>
                          <w:tcW w:w="5400" w:type="dxa"/>
                        </w:tcPr>
                        <w:p w14:paraId="42295615" w14:textId="17532434" w:rsidR="00CB2E66" w:rsidRDefault="00913BC2">
                          <w:r>
                            <w:t>Luchtvaartemissies en gezondheid</w:t>
                          </w:r>
                        </w:p>
                      </w:tc>
                    </w:tr>
                    <w:tr w:rsidR="00CB2E66" w14:paraId="5C7E6D57" w14:textId="77777777">
                      <w:trPr>
                        <w:trHeight w:val="200"/>
                      </w:trPr>
                      <w:tc>
                        <w:tcPr>
                          <w:tcW w:w="1140" w:type="dxa"/>
                        </w:tcPr>
                        <w:p w14:paraId="71870D15" w14:textId="77777777" w:rsidR="00CB2E66" w:rsidRDefault="00CB2E66"/>
                      </w:tc>
                      <w:tc>
                        <w:tcPr>
                          <w:tcW w:w="5400" w:type="dxa"/>
                        </w:tcPr>
                        <w:p w14:paraId="650DC654" w14:textId="77777777" w:rsidR="00CB2E66" w:rsidRDefault="00CB2E66"/>
                      </w:tc>
                    </w:tr>
                  </w:tbl>
                  <w:p w14:paraId="793580DD" w14:textId="77777777" w:rsidR="002F5E04" w:rsidRDefault="002F5E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D03BD1F" wp14:editId="237B3A6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FBD401" w14:textId="77777777" w:rsidR="002F5E04" w:rsidRDefault="002F5E04"/>
                      </w:txbxContent>
                    </wps:txbx>
                    <wps:bodyPr vert="horz" wrap="square" lIns="0" tIns="0" rIns="0" bIns="0" anchor="t" anchorCtr="0"/>
                  </wps:wsp>
                </a:graphicData>
              </a:graphic>
            </wp:anchor>
          </w:drawing>
        </mc:Choice>
        <mc:Fallback>
          <w:pict>
            <v:shape w14:anchorId="4D03BD1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AFBD401" w14:textId="77777777" w:rsidR="002F5E04" w:rsidRDefault="002F5E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FAEBCD"/>
    <w:multiLevelType w:val="multilevel"/>
    <w:tmpl w:val="4F80CF8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675F9B"/>
    <w:multiLevelType w:val="multilevel"/>
    <w:tmpl w:val="64BE7BD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38499C"/>
    <w:multiLevelType w:val="multilevel"/>
    <w:tmpl w:val="8D236C9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86DBCE"/>
    <w:multiLevelType w:val="multilevel"/>
    <w:tmpl w:val="787F276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D16116"/>
    <w:multiLevelType w:val="multilevel"/>
    <w:tmpl w:val="F406577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5B3CF7"/>
    <w:multiLevelType w:val="multilevel"/>
    <w:tmpl w:val="6F17A1A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F601D0"/>
    <w:multiLevelType w:val="multilevel"/>
    <w:tmpl w:val="4F6A666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ABB930"/>
    <w:multiLevelType w:val="multilevel"/>
    <w:tmpl w:val="5863C20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F32ACA"/>
    <w:multiLevelType w:val="multilevel"/>
    <w:tmpl w:val="49D4BD0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96AE9C7"/>
    <w:multiLevelType w:val="multilevel"/>
    <w:tmpl w:val="09E8BD1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339B8C"/>
    <w:multiLevelType w:val="multilevel"/>
    <w:tmpl w:val="65A65E5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F38AC1"/>
    <w:multiLevelType w:val="multilevel"/>
    <w:tmpl w:val="E361364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3BB680"/>
    <w:multiLevelType w:val="multilevel"/>
    <w:tmpl w:val="89D869E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F786B9"/>
    <w:multiLevelType w:val="multilevel"/>
    <w:tmpl w:val="5D554A7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DC951A"/>
    <w:multiLevelType w:val="multilevel"/>
    <w:tmpl w:val="C20E740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E81983"/>
    <w:multiLevelType w:val="multilevel"/>
    <w:tmpl w:val="DB16486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389057"/>
    <w:multiLevelType w:val="multilevel"/>
    <w:tmpl w:val="C36EA7B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8F02B9"/>
    <w:multiLevelType w:val="multilevel"/>
    <w:tmpl w:val="D0B82CD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A959BE"/>
    <w:multiLevelType w:val="multilevel"/>
    <w:tmpl w:val="7C2476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52E1A089"/>
    <w:multiLevelType w:val="multilevel"/>
    <w:tmpl w:val="697A2E6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22E46A"/>
    <w:multiLevelType w:val="multilevel"/>
    <w:tmpl w:val="1DB51D8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3C584B"/>
    <w:multiLevelType w:val="multilevel"/>
    <w:tmpl w:val="A948DF3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797A2F"/>
    <w:multiLevelType w:val="multilevel"/>
    <w:tmpl w:val="FA8EB6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7"/>
  </w:num>
  <w:num w:numId="2">
    <w:abstractNumId w:val="8"/>
  </w:num>
  <w:num w:numId="3">
    <w:abstractNumId w:val="11"/>
  </w:num>
  <w:num w:numId="4">
    <w:abstractNumId w:val="0"/>
  </w:num>
  <w:num w:numId="5">
    <w:abstractNumId w:val="18"/>
  </w:num>
  <w:num w:numId="6">
    <w:abstractNumId w:val="7"/>
  </w:num>
  <w:num w:numId="7">
    <w:abstractNumId w:val="1"/>
  </w:num>
  <w:num w:numId="8">
    <w:abstractNumId w:val="9"/>
  </w:num>
  <w:num w:numId="9">
    <w:abstractNumId w:val="3"/>
  </w:num>
  <w:num w:numId="10">
    <w:abstractNumId w:val="21"/>
  </w:num>
  <w:num w:numId="11">
    <w:abstractNumId w:val="5"/>
  </w:num>
  <w:num w:numId="12">
    <w:abstractNumId w:val="22"/>
  </w:num>
  <w:num w:numId="13">
    <w:abstractNumId w:val="4"/>
  </w:num>
  <w:num w:numId="14">
    <w:abstractNumId w:val="2"/>
  </w:num>
  <w:num w:numId="15">
    <w:abstractNumId w:val="19"/>
  </w:num>
  <w:num w:numId="16">
    <w:abstractNumId w:val="15"/>
  </w:num>
  <w:num w:numId="17">
    <w:abstractNumId w:val="20"/>
  </w:num>
  <w:num w:numId="18">
    <w:abstractNumId w:val="6"/>
  </w:num>
  <w:num w:numId="19">
    <w:abstractNumId w:val="13"/>
  </w:num>
  <w:num w:numId="20">
    <w:abstractNumId w:val="12"/>
  </w:num>
  <w:num w:numId="21">
    <w:abstractNumId w:val="14"/>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C2"/>
    <w:rsid w:val="00032D76"/>
    <w:rsid w:val="0003785B"/>
    <w:rsid w:val="00093B15"/>
    <w:rsid w:val="000A3912"/>
    <w:rsid w:val="000B609E"/>
    <w:rsid w:val="000C0861"/>
    <w:rsid w:val="000D5769"/>
    <w:rsid w:val="000E1D98"/>
    <w:rsid w:val="000F381E"/>
    <w:rsid w:val="00115F4B"/>
    <w:rsid w:val="00116FAA"/>
    <w:rsid w:val="001171EA"/>
    <w:rsid w:val="001211CA"/>
    <w:rsid w:val="00130F64"/>
    <w:rsid w:val="00141BA3"/>
    <w:rsid w:val="00190A55"/>
    <w:rsid w:val="001A331C"/>
    <w:rsid w:val="001A7423"/>
    <w:rsid w:val="001B5E14"/>
    <w:rsid w:val="001B6C63"/>
    <w:rsid w:val="001D467A"/>
    <w:rsid w:val="001F194A"/>
    <w:rsid w:val="001F41DB"/>
    <w:rsid w:val="001F6CC2"/>
    <w:rsid w:val="001F7D56"/>
    <w:rsid w:val="00205B3D"/>
    <w:rsid w:val="00216B8F"/>
    <w:rsid w:val="002319A8"/>
    <w:rsid w:val="00237E8F"/>
    <w:rsid w:val="002503E0"/>
    <w:rsid w:val="002600C2"/>
    <w:rsid w:val="00264C00"/>
    <w:rsid w:val="00276046"/>
    <w:rsid w:val="002761FF"/>
    <w:rsid w:val="002B316C"/>
    <w:rsid w:val="002B6E7D"/>
    <w:rsid w:val="002C6E39"/>
    <w:rsid w:val="002D2B2D"/>
    <w:rsid w:val="002F2BAB"/>
    <w:rsid w:val="002F5E04"/>
    <w:rsid w:val="00301604"/>
    <w:rsid w:val="00302850"/>
    <w:rsid w:val="00311E14"/>
    <w:rsid w:val="003A1BB3"/>
    <w:rsid w:val="003F1E2B"/>
    <w:rsid w:val="004016D7"/>
    <w:rsid w:val="00441E55"/>
    <w:rsid w:val="004534CE"/>
    <w:rsid w:val="00457359"/>
    <w:rsid w:val="00461321"/>
    <w:rsid w:val="00464D6A"/>
    <w:rsid w:val="00473771"/>
    <w:rsid w:val="004737BD"/>
    <w:rsid w:val="00476C8E"/>
    <w:rsid w:val="00485C6D"/>
    <w:rsid w:val="00492B6B"/>
    <w:rsid w:val="004A084C"/>
    <w:rsid w:val="004A2DD2"/>
    <w:rsid w:val="004A2F62"/>
    <w:rsid w:val="004B3772"/>
    <w:rsid w:val="004C0CC6"/>
    <w:rsid w:val="004E2053"/>
    <w:rsid w:val="004F67D7"/>
    <w:rsid w:val="0051791C"/>
    <w:rsid w:val="00523E3B"/>
    <w:rsid w:val="005273FD"/>
    <w:rsid w:val="00527E31"/>
    <w:rsid w:val="0053501F"/>
    <w:rsid w:val="00583A39"/>
    <w:rsid w:val="005870CC"/>
    <w:rsid w:val="0059302D"/>
    <w:rsid w:val="005B7C17"/>
    <w:rsid w:val="005C7E43"/>
    <w:rsid w:val="005D1608"/>
    <w:rsid w:val="005E4B31"/>
    <w:rsid w:val="00620F45"/>
    <w:rsid w:val="00647428"/>
    <w:rsid w:val="00654B0F"/>
    <w:rsid w:val="0066031D"/>
    <w:rsid w:val="006B7C48"/>
    <w:rsid w:val="007011DF"/>
    <w:rsid w:val="0070306B"/>
    <w:rsid w:val="007156FC"/>
    <w:rsid w:val="00726954"/>
    <w:rsid w:val="00734706"/>
    <w:rsid w:val="00737198"/>
    <w:rsid w:val="007415FE"/>
    <w:rsid w:val="00742B22"/>
    <w:rsid w:val="00765F27"/>
    <w:rsid w:val="00776AD9"/>
    <w:rsid w:val="0078140C"/>
    <w:rsid w:val="007909C7"/>
    <w:rsid w:val="007A3E59"/>
    <w:rsid w:val="007A7F54"/>
    <w:rsid w:val="007B7A37"/>
    <w:rsid w:val="007C5CD3"/>
    <w:rsid w:val="007C74F3"/>
    <w:rsid w:val="007F4D0C"/>
    <w:rsid w:val="008036B3"/>
    <w:rsid w:val="00823838"/>
    <w:rsid w:val="00826838"/>
    <w:rsid w:val="00874C53"/>
    <w:rsid w:val="00874D6D"/>
    <w:rsid w:val="00875F9A"/>
    <w:rsid w:val="00887D9F"/>
    <w:rsid w:val="008A22AF"/>
    <w:rsid w:val="008A3596"/>
    <w:rsid w:val="008A4A6C"/>
    <w:rsid w:val="008C1DE2"/>
    <w:rsid w:val="008E7F44"/>
    <w:rsid w:val="008F3B81"/>
    <w:rsid w:val="00913BC2"/>
    <w:rsid w:val="009228D8"/>
    <w:rsid w:val="00945F2D"/>
    <w:rsid w:val="0094651D"/>
    <w:rsid w:val="00966BC6"/>
    <w:rsid w:val="009737D6"/>
    <w:rsid w:val="00980152"/>
    <w:rsid w:val="009824A9"/>
    <w:rsid w:val="0099765D"/>
    <w:rsid w:val="009B3FA2"/>
    <w:rsid w:val="009E6AD2"/>
    <w:rsid w:val="00A21FAC"/>
    <w:rsid w:val="00A42538"/>
    <w:rsid w:val="00A4312A"/>
    <w:rsid w:val="00A57308"/>
    <w:rsid w:val="00A642F8"/>
    <w:rsid w:val="00A67498"/>
    <w:rsid w:val="00A84FB3"/>
    <w:rsid w:val="00A900B1"/>
    <w:rsid w:val="00AA4746"/>
    <w:rsid w:val="00AA7FF2"/>
    <w:rsid w:val="00AC0481"/>
    <w:rsid w:val="00AD72DC"/>
    <w:rsid w:val="00B03B47"/>
    <w:rsid w:val="00B2578C"/>
    <w:rsid w:val="00B31B6C"/>
    <w:rsid w:val="00B51E6F"/>
    <w:rsid w:val="00B609AC"/>
    <w:rsid w:val="00B7155B"/>
    <w:rsid w:val="00B80AF5"/>
    <w:rsid w:val="00B87AFC"/>
    <w:rsid w:val="00BD0D9E"/>
    <w:rsid w:val="00C1055E"/>
    <w:rsid w:val="00C27A8B"/>
    <w:rsid w:val="00C66B96"/>
    <w:rsid w:val="00C720B1"/>
    <w:rsid w:val="00C74385"/>
    <w:rsid w:val="00C75C9F"/>
    <w:rsid w:val="00C82F55"/>
    <w:rsid w:val="00CB2E66"/>
    <w:rsid w:val="00CB36E9"/>
    <w:rsid w:val="00CC011C"/>
    <w:rsid w:val="00CF0E7B"/>
    <w:rsid w:val="00D024EF"/>
    <w:rsid w:val="00D034D6"/>
    <w:rsid w:val="00D051B7"/>
    <w:rsid w:val="00D6275A"/>
    <w:rsid w:val="00D741F4"/>
    <w:rsid w:val="00D82C47"/>
    <w:rsid w:val="00D90C91"/>
    <w:rsid w:val="00DB3341"/>
    <w:rsid w:val="00DB5076"/>
    <w:rsid w:val="00DD21CD"/>
    <w:rsid w:val="00DE5098"/>
    <w:rsid w:val="00E025FD"/>
    <w:rsid w:val="00E21CF9"/>
    <w:rsid w:val="00E25422"/>
    <w:rsid w:val="00E4079A"/>
    <w:rsid w:val="00E54FC4"/>
    <w:rsid w:val="00E5662D"/>
    <w:rsid w:val="00E63750"/>
    <w:rsid w:val="00E7009C"/>
    <w:rsid w:val="00E77131"/>
    <w:rsid w:val="00E96481"/>
    <w:rsid w:val="00E96538"/>
    <w:rsid w:val="00EA64FC"/>
    <w:rsid w:val="00EB303F"/>
    <w:rsid w:val="00EB6429"/>
    <w:rsid w:val="00EF313A"/>
    <w:rsid w:val="00EF3838"/>
    <w:rsid w:val="00F32622"/>
    <w:rsid w:val="00F37815"/>
    <w:rsid w:val="00F44AB3"/>
    <w:rsid w:val="00F513ED"/>
    <w:rsid w:val="00F72F18"/>
    <w:rsid w:val="00F73F8F"/>
    <w:rsid w:val="00F8398B"/>
    <w:rsid w:val="00F847D2"/>
    <w:rsid w:val="00F96301"/>
    <w:rsid w:val="00FA54E2"/>
    <w:rsid w:val="00FB4E42"/>
    <w:rsid w:val="00FB7C36"/>
    <w:rsid w:val="00FD0764"/>
    <w:rsid w:val="00FD5BAE"/>
    <w:rsid w:val="00FE4345"/>
    <w:rsid w:val="00FF36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5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913BC2"/>
    <w:pPr>
      <w:spacing w:line="240" w:lineRule="auto"/>
    </w:pPr>
    <w:rPr>
      <w:sz w:val="20"/>
      <w:szCs w:val="20"/>
    </w:rPr>
  </w:style>
  <w:style w:type="character" w:customStyle="1" w:styleId="FootnoteTextChar">
    <w:name w:val="Footnote Text Char"/>
    <w:basedOn w:val="DefaultParagraphFont"/>
    <w:link w:val="FootnoteText"/>
    <w:uiPriority w:val="99"/>
    <w:semiHidden/>
    <w:rsid w:val="00913BC2"/>
    <w:rPr>
      <w:rFonts w:ascii="Verdana" w:hAnsi="Verdana"/>
      <w:color w:val="000000"/>
    </w:rPr>
  </w:style>
  <w:style w:type="character" w:styleId="FootnoteReference">
    <w:name w:val="footnote reference"/>
    <w:basedOn w:val="DefaultParagraphFont"/>
    <w:uiPriority w:val="99"/>
    <w:semiHidden/>
    <w:unhideWhenUsed/>
    <w:rsid w:val="00913BC2"/>
    <w:rPr>
      <w:vertAlign w:val="superscript"/>
    </w:rPr>
  </w:style>
  <w:style w:type="paragraph" w:styleId="Header">
    <w:name w:val="header"/>
    <w:basedOn w:val="Normal"/>
    <w:link w:val="HeaderChar"/>
    <w:uiPriority w:val="99"/>
    <w:unhideWhenUsed/>
    <w:rsid w:val="00913BC2"/>
    <w:pPr>
      <w:tabs>
        <w:tab w:val="center" w:pos="4536"/>
        <w:tab w:val="right" w:pos="9072"/>
      </w:tabs>
      <w:spacing w:line="240" w:lineRule="auto"/>
    </w:pPr>
  </w:style>
  <w:style w:type="character" w:customStyle="1" w:styleId="HeaderChar">
    <w:name w:val="Header Char"/>
    <w:basedOn w:val="DefaultParagraphFont"/>
    <w:link w:val="Header"/>
    <w:uiPriority w:val="99"/>
    <w:rsid w:val="00913BC2"/>
    <w:rPr>
      <w:rFonts w:ascii="Verdana" w:hAnsi="Verdana"/>
      <w:color w:val="000000"/>
      <w:sz w:val="18"/>
      <w:szCs w:val="18"/>
    </w:rPr>
  </w:style>
  <w:style w:type="paragraph" w:styleId="Footer">
    <w:name w:val="footer"/>
    <w:basedOn w:val="Normal"/>
    <w:link w:val="FooterChar"/>
    <w:uiPriority w:val="99"/>
    <w:unhideWhenUsed/>
    <w:rsid w:val="00913BC2"/>
    <w:pPr>
      <w:tabs>
        <w:tab w:val="center" w:pos="4536"/>
        <w:tab w:val="right" w:pos="9072"/>
      </w:tabs>
      <w:spacing w:line="240" w:lineRule="auto"/>
    </w:pPr>
  </w:style>
  <w:style w:type="character" w:customStyle="1" w:styleId="FooterChar">
    <w:name w:val="Footer Char"/>
    <w:basedOn w:val="DefaultParagraphFont"/>
    <w:link w:val="Footer"/>
    <w:uiPriority w:val="99"/>
    <w:rsid w:val="00913BC2"/>
    <w:rPr>
      <w:rFonts w:ascii="Verdana" w:hAnsi="Verdana"/>
      <w:color w:val="000000"/>
      <w:sz w:val="18"/>
      <w:szCs w:val="18"/>
    </w:rPr>
  </w:style>
  <w:style w:type="character" w:styleId="CommentReference">
    <w:name w:val="annotation reference"/>
    <w:basedOn w:val="DefaultParagraphFont"/>
    <w:uiPriority w:val="99"/>
    <w:semiHidden/>
    <w:unhideWhenUsed/>
    <w:rsid w:val="00D90C91"/>
    <w:rPr>
      <w:sz w:val="16"/>
      <w:szCs w:val="16"/>
    </w:rPr>
  </w:style>
  <w:style w:type="paragraph" w:styleId="CommentText">
    <w:name w:val="annotation text"/>
    <w:basedOn w:val="Normal"/>
    <w:link w:val="CommentTextChar"/>
    <w:uiPriority w:val="99"/>
    <w:unhideWhenUsed/>
    <w:rsid w:val="00D90C91"/>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D90C91"/>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E1D98"/>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0E1D98"/>
    <w:rPr>
      <w:rFonts w:ascii="Verdana" w:eastAsiaTheme="minorHAnsi" w:hAnsi="Verdana" w:cstheme="minorBidi"/>
      <w:b/>
      <w:bCs/>
      <w:color w:val="000000"/>
      <w:lang w:eastAsia="en-US"/>
    </w:rPr>
  </w:style>
  <w:style w:type="paragraph" w:styleId="Revision">
    <w:name w:val="Revision"/>
    <w:hidden/>
    <w:uiPriority w:val="99"/>
    <w:semiHidden/>
    <w:rsid w:val="00DD21CD"/>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654B0F"/>
    <w:rPr>
      <w:color w:val="605E5C"/>
      <w:shd w:val="clear" w:color="auto" w:fill="E1DFDD"/>
    </w:rPr>
  </w:style>
  <w:style w:type="character" w:styleId="FollowedHyperlink">
    <w:name w:val="FollowedHyperlink"/>
    <w:basedOn w:val="DefaultParagraphFont"/>
    <w:uiPriority w:val="99"/>
    <w:semiHidden/>
    <w:unhideWhenUsed/>
    <w:rsid w:val="00742B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1690</ap:Words>
  <ap:Characters>9636</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Brief aan Parlement - Voortgangsbrief luchtvaartemissies</vt:lpstr>
    </vt:vector>
  </ap:TitlesOfParts>
  <ap:LinksUpToDate>false</ap:LinksUpToDate>
  <ap:CharactersWithSpaces>11304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2025-11-04T15:22:00.0000000Z</dcterms:created>
  <dcterms:modified xsi:type="dcterms:W3CDTF">2025-11-04T15:22:00.0000000Z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luchtvaartemissies</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Hartjes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